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CC" w:rsidRPr="003A26F8" w:rsidRDefault="00390ECC" w:rsidP="00390ECC">
      <w:pPr>
        <w:pBdr>
          <w:bottom w:val="single" w:sz="4" w:space="1" w:color="auto"/>
        </w:pBdr>
        <w:outlineLvl w:val="0"/>
        <w:rPr>
          <w:rFonts w:ascii="Arial" w:hAnsi="Arial" w:cs="Arial"/>
          <w:b/>
          <w:bCs/>
        </w:rPr>
      </w:pPr>
      <w:r w:rsidRPr="003A26F8">
        <w:rPr>
          <w:rFonts w:ascii="Arial" w:hAnsi="Arial" w:cs="Arial"/>
          <w:b/>
          <w:bCs/>
        </w:rPr>
        <w:t>Overview</w:t>
      </w:r>
    </w:p>
    <w:p w:rsidR="00390ECC" w:rsidRDefault="00390ECC" w:rsidP="00390ECC">
      <w:pPr>
        <w:rPr>
          <w:rFonts w:ascii="Arial" w:hAnsi="Arial" w:cs="Arial"/>
        </w:rPr>
      </w:pPr>
    </w:p>
    <w:p w:rsidR="0022427A" w:rsidRDefault="0022427A" w:rsidP="00FE210F">
      <w:pPr>
        <w:rPr>
          <w:rFonts w:ascii="Arial" w:hAnsi="Arial" w:cs="Arial"/>
        </w:rPr>
      </w:pPr>
      <w:r w:rsidRPr="00FE210F">
        <w:rPr>
          <w:rFonts w:ascii="Arial" w:hAnsi="Arial" w:cs="Arial"/>
        </w:rPr>
        <w:t xml:space="preserve">The concentration in </w:t>
      </w:r>
      <w:r w:rsidR="001C3F03" w:rsidRPr="00FE210F">
        <w:rPr>
          <w:rFonts w:ascii="Arial" w:hAnsi="Arial" w:cs="Arial"/>
        </w:rPr>
        <w:t>Capital Markets and Investments (CMI</w:t>
      </w:r>
      <w:r w:rsidRPr="00FE210F">
        <w:rPr>
          <w:rFonts w:ascii="Arial" w:hAnsi="Arial" w:cs="Arial"/>
        </w:rPr>
        <w:t xml:space="preserve">) is designed to prepare </w:t>
      </w:r>
      <w:r w:rsidR="001C3F03" w:rsidRPr="00FE210F">
        <w:rPr>
          <w:rFonts w:ascii="Arial" w:hAnsi="Arial" w:cs="Arial"/>
        </w:rPr>
        <w:t xml:space="preserve">students for positions on both the buy and sell side of the capital markets, including corporate treasury, securities analysis and portfolio management, sales and trading, and </w:t>
      </w:r>
      <w:r w:rsidR="00003F0A">
        <w:rPr>
          <w:rFonts w:ascii="Arial" w:hAnsi="Arial" w:cs="Arial"/>
        </w:rPr>
        <w:t>private wealth management</w:t>
      </w:r>
      <w:r w:rsidR="001C3F03" w:rsidRPr="00FE210F">
        <w:rPr>
          <w:rFonts w:ascii="Arial" w:hAnsi="Arial" w:cs="Arial"/>
        </w:rPr>
        <w:t>.</w:t>
      </w:r>
    </w:p>
    <w:p w:rsidR="00FE210F" w:rsidRPr="00FE210F" w:rsidRDefault="00FE210F" w:rsidP="00FE210F">
      <w:pPr>
        <w:rPr>
          <w:rFonts w:ascii="Arial" w:hAnsi="Arial" w:cs="Arial"/>
        </w:rPr>
      </w:pPr>
    </w:p>
    <w:p w:rsidR="0022427A" w:rsidRPr="003A26F8" w:rsidRDefault="0022427A" w:rsidP="00303AB4">
      <w:pPr>
        <w:jc w:val="both"/>
        <w:rPr>
          <w:rFonts w:ascii="Arial" w:hAnsi="Arial" w:cs="Arial"/>
        </w:rPr>
      </w:pPr>
      <w:r w:rsidRPr="003A26F8">
        <w:rPr>
          <w:rFonts w:ascii="Arial" w:hAnsi="Arial" w:cs="Arial"/>
        </w:rPr>
        <w:t xml:space="preserve">The required curriculum includes both a rigorous theoretical component and </w:t>
      </w:r>
      <w:r>
        <w:rPr>
          <w:rFonts w:ascii="Arial" w:hAnsi="Arial" w:cs="Arial"/>
        </w:rPr>
        <w:t xml:space="preserve">a demanding applied component. </w:t>
      </w:r>
      <w:r w:rsidRPr="003A26F8">
        <w:rPr>
          <w:rFonts w:ascii="Arial" w:hAnsi="Arial" w:cs="Arial"/>
        </w:rPr>
        <w:t>Courses are structured to provide students a nearly comprehensive preparation for the Chartered Financial Analy</w:t>
      </w:r>
      <w:r>
        <w:rPr>
          <w:rFonts w:ascii="Arial" w:hAnsi="Arial" w:cs="Arial"/>
        </w:rPr>
        <w:t xml:space="preserve">st (CFA) program. </w:t>
      </w:r>
      <w:r w:rsidRPr="003A26F8">
        <w:rPr>
          <w:rFonts w:ascii="Arial" w:hAnsi="Arial" w:cs="Arial"/>
        </w:rPr>
        <w:t>M</w:t>
      </w:r>
      <w:r>
        <w:rPr>
          <w:rFonts w:ascii="Arial" w:hAnsi="Arial" w:cs="Arial"/>
        </w:rPr>
        <w:t>any</w:t>
      </w:r>
      <w:r w:rsidRPr="003A26F8">
        <w:rPr>
          <w:rFonts w:ascii="Arial" w:hAnsi="Arial" w:cs="Arial"/>
        </w:rPr>
        <w:t xml:space="preserve"> </w:t>
      </w:r>
      <w:r w:rsidR="001C3F03">
        <w:rPr>
          <w:rFonts w:ascii="Arial" w:hAnsi="Arial" w:cs="Arial"/>
        </w:rPr>
        <w:t>CMI</w:t>
      </w:r>
      <w:r w:rsidR="001C3F03" w:rsidRPr="003A26F8">
        <w:rPr>
          <w:rFonts w:ascii="Arial" w:hAnsi="Arial" w:cs="Arial"/>
        </w:rPr>
        <w:t xml:space="preserve"> </w:t>
      </w:r>
      <w:r w:rsidRPr="003A26F8">
        <w:rPr>
          <w:rFonts w:ascii="Arial" w:hAnsi="Arial" w:cs="Arial"/>
        </w:rPr>
        <w:t>concentrators choose to apply to the Applied Investment Management (AIM) course in which students manage</w:t>
      </w:r>
      <w:r>
        <w:rPr>
          <w:rFonts w:ascii="Arial" w:hAnsi="Arial" w:cs="Arial"/>
        </w:rPr>
        <w:t xml:space="preserve"> a real portfolio</w:t>
      </w:r>
      <w:r w:rsidRPr="003A26F8">
        <w:rPr>
          <w:rFonts w:ascii="Arial" w:hAnsi="Arial" w:cs="Arial"/>
        </w:rPr>
        <w:t xml:space="preserve"> of financial assets.  Historically, UNC K</w:t>
      </w:r>
      <w:r w:rsidR="008C774D">
        <w:rPr>
          <w:rFonts w:ascii="Arial" w:hAnsi="Arial" w:cs="Arial"/>
        </w:rPr>
        <w:t>enan-Flagler has placed about 10</w:t>
      </w:r>
      <w:r w:rsidRPr="003A26F8">
        <w:rPr>
          <w:rFonts w:ascii="Arial" w:hAnsi="Arial" w:cs="Arial"/>
        </w:rPr>
        <w:t xml:space="preserve"> percent of the graduating class in positions involving investment management. The school has alumni in all global financial centers and major financial </w:t>
      </w:r>
      <w:r>
        <w:rPr>
          <w:rFonts w:ascii="Arial" w:hAnsi="Arial" w:cs="Arial"/>
        </w:rPr>
        <w:t>institutions</w:t>
      </w:r>
      <w:r w:rsidRPr="003A26F8">
        <w:rPr>
          <w:rFonts w:ascii="Arial" w:hAnsi="Arial" w:cs="Arial"/>
        </w:rPr>
        <w:t>.</w:t>
      </w:r>
    </w:p>
    <w:p w:rsidR="00390ECC" w:rsidRPr="003A26F8" w:rsidRDefault="00390ECC" w:rsidP="00390ECC">
      <w:pPr>
        <w:rPr>
          <w:rFonts w:ascii="Arial" w:hAnsi="Arial" w:cs="Arial"/>
          <w:b/>
          <w:bCs/>
        </w:rPr>
      </w:pPr>
    </w:p>
    <w:p w:rsidR="00390ECC" w:rsidRPr="003A26F8" w:rsidRDefault="00390ECC" w:rsidP="00390ECC">
      <w:pPr>
        <w:pBdr>
          <w:bottom w:val="single" w:sz="4" w:space="1" w:color="auto"/>
        </w:pBdr>
        <w:outlineLvl w:val="0"/>
        <w:rPr>
          <w:rFonts w:ascii="Arial" w:hAnsi="Arial" w:cs="Arial"/>
          <w:b/>
          <w:bCs/>
        </w:rPr>
      </w:pPr>
      <w:r w:rsidRPr="003A26F8">
        <w:rPr>
          <w:rFonts w:ascii="Arial" w:hAnsi="Arial" w:cs="Arial"/>
          <w:b/>
          <w:bCs/>
        </w:rPr>
        <w:t>Concentration Team</w:t>
      </w:r>
    </w:p>
    <w:p w:rsidR="00390ECC" w:rsidRPr="00D766E2" w:rsidRDefault="00390ECC" w:rsidP="00390ECC">
      <w:pPr>
        <w:rPr>
          <w:rFonts w:ascii="Arial" w:hAnsi="Arial" w:cs="Arial"/>
        </w:rPr>
      </w:pPr>
    </w:p>
    <w:p w:rsidR="0022427A" w:rsidRPr="00D766E2" w:rsidRDefault="0022427A" w:rsidP="00D766E2">
      <w:pPr>
        <w:pStyle w:val="NoSpacing"/>
        <w:jc w:val="both"/>
        <w:rPr>
          <w:rFonts w:ascii="Arial" w:hAnsi="Arial" w:cs="Arial"/>
        </w:rPr>
      </w:pPr>
      <w:r w:rsidRPr="00D766E2">
        <w:rPr>
          <w:rFonts w:ascii="Arial" w:hAnsi="Arial" w:cs="Arial"/>
        </w:rPr>
        <w:t xml:space="preserve">The </w:t>
      </w:r>
      <w:r w:rsidR="008C774D" w:rsidRPr="00D766E2">
        <w:rPr>
          <w:rFonts w:ascii="Arial" w:hAnsi="Arial" w:cs="Arial"/>
        </w:rPr>
        <w:t xml:space="preserve">primary </w:t>
      </w:r>
      <w:r w:rsidRPr="00D766E2">
        <w:rPr>
          <w:rFonts w:ascii="Arial" w:hAnsi="Arial" w:cs="Arial"/>
        </w:rPr>
        <w:t xml:space="preserve">coordinator for the </w:t>
      </w:r>
      <w:r w:rsidR="001C3F03" w:rsidRPr="00D766E2">
        <w:rPr>
          <w:rFonts w:ascii="Arial" w:hAnsi="Arial" w:cs="Arial"/>
        </w:rPr>
        <w:t>Capital Markets and Investments</w:t>
      </w:r>
      <w:r w:rsidRPr="00D766E2">
        <w:rPr>
          <w:rFonts w:ascii="Arial" w:hAnsi="Arial" w:cs="Arial"/>
        </w:rPr>
        <w:t xml:space="preserve"> concentration is </w:t>
      </w:r>
      <w:proofErr w:type="spellStart"/>
      <w:r w:rsidR="00CD2BCE" w:rsidRPr="00D766E2">
        <w:rPr>
          <w:rFonts w:ascii="Arial" w:hAnsi="Arial" w:cs="Arial"/>
        </w:rPr>
        <w:t>Ric</w:t>
      </w:r>
      <w:proofErr w:type="spellEnd"/>
      <w:r w:rsidR="00CD2BCE" w:rsidRPr="00D766E2">
        <w:rPr>
          <w:rFonts w:ascii="Arial" w:hAnsi="Arial" w:cs="Arial"/>
        </w:rPr>
        <w:t xml:space="preserve"> Colacito</w:t>
      </w:r>
      <w:r w:rsidRPr="00D766E2">
        <w:rPr>
          <w:rFonts w:ascii="Arial" w:hAnsi="Arial" w:cs="Arial"/>
        </w:rPr>
        <w:t xml:space="preserve"> (</w:t>
      </w:r>
      <w:hyperlink r:id="rId8" w:history="1">
        <w:r w:rsidR="00D766E2" w:rsidRPr="00D766E2">
          <w:rPr>
            <w:rStyle w:val="Hyperlink"/>
            <w:rFonts w:ascii="Arial" w:hAnsi="Arial" w:cs="Arial"/>
            <w:color w:val="auto"/>
          </w:rPr>
          <w:t>ric@unc.edu</w:t>
        </w:r>
      </w:hyperlink>
      <w:r w:rsidRPr="00D766E2">
        <w:rPr>
          <w:rFonts w:ascii="Arial" w:hAnsi="Arial" w:cs="Arial"/>
        </w:rPr>
        <w:t xml:space="preserve">). Faculty members teaching in the concentration are Alex Arapoglou, </w:t>
      </w:r>
      <w:r w:rsidR="00CD2BCE" w:rsidRPr="00D766E2">
        <w:rPr>
          <w:rFonts w:ascii="Arial" w:hAnsi="Arial" w:cs="Arial"/>
        </w:rPr>
        <w:t xml:space="preserve">Yasser Boualam, </w:t>
      </w:r>
      <w:proofErr w:type="spellStart"/>
      <w:r w:rsidRPr="00D766E2">
        <w:rPr>
          <w:rFonts w:ascii="Arial" w:hAnsi="Arial" w:cs="Arial"/>
        </w:rPr>
        <w:t>Ric</w:t>
      </w:r>
      <w:proofErr w:type="spellEnd"/>
      <w:r w:rsidRPr="00D766E2">
        <w:rPr>
          <w:rFonts w:ascii="Arial" w:hAnsi="Arial" w:cs="Arial"/>
        </w:rPr>
        <w:t xml:space="preserve"> Colacito, Mustafa Gultekin, Pat Hartley, </w:t>
      </w:r>
      <w:r w:rsidR="00CD2BCE" w:rsidRPr="00D766E2">
        <w:rPr>
          <w:rFonts w:ascii="Arial" w:hAnsi="Arial" w:cs="Arial"/>
        </w:rPr>
        <w:t xml:space="preserve">Gill Segal, </w:t>
      </w:r>
      <w:r w:rsidR="00342D2D" w:rsidRPr="00D766E2">
        <w:rPr>
          <w:rFonts w:ascii="Arial" w:hAnsi="Arial" w:cs="Arial"/>
        </w:rPr>
        <w:t xml:space="preserve">Marc Simons, </w:t>
      </w:r>
      <w:r w:rsidR="005204DD" w:rsidRPr="00D766E2">
        <w:rPr>
          <w:rFonts w:ascii="Arial" w:hAnsi="Arial" w:cs="Arial"/>
        </w:rPr>
        <w:t xml:space="preserve">and </w:t>
      </w:r>
      <w:r w:rsidR="00303AB4" w:rsidRPr="00D766E2">
        <w:rPr>
          <w:rFonts w:ascii="Arial" w:hAnsi="Arial" w:cs="Arial"/>
        </w:rPr>
        <w:t>Chip Snively</w:t>
      </w:r>
      <w:r w:rsidRPr="00D766E2">
        <w:rPr>
          <w:rFonts w:ascii="Arial" w:hAnsi="Arial" w:cs="Arial"/>
        </w:rPr>
        <w:t>.</w:t>
      </w:r>
    </w:p>
    <w:p w:rsidR="0022427A" w:rsidRPr="003A26F8" w:rsidRDefault="0022427A" w:rsidP="0022427A">
      <w:pPr>
        <w:rPr>
          <w:rFonts w:ascii="Arial" w:hAnsi="Arial" w:cs="Arial"/>
        </w:rPr>
      </w:pPr>
    </w:p>
    <w:p w:rsidR="0022427A" w:rsidRPr="003A26F8" w:rsidRDefault="0022427A" w:rsidP="0022427A">
      <w:pPr>
        <w:pStyle w:val="NormalWeb"/>
        <w:spacing w:before="0" w:beforeAutospacing="0" w:after="0" w:afterAutospacing="0"/>
        <w:outlineLvl w:val="0"/>
        <w:rPr>
          <w:rFonts w:ascii="Arial" w:hAnsi="Arial" w:cs="Arial"/>
          <w:color w:val="auto"/>
          <w:sz w:val="20"/>
          <w:szCs w:val="20"/>
        </w:rPr>
      </w:pPr>
      <w:r w:rsidRPr="003A26F8">
        <w:rPr>
          <w:rFonts w:ascii="Arial" w:hAnsi="Arial" w:cs="Arial"/>
          <w:b/>
          <w:color w:val="auto"/>
          <w:sz w:val="20"/>
          <w:szCs w:val="20"/>
        </w:rPr>
        <w:t>Concentration Leader and Curriculum Advisor: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D2BCE">
        <w:rPr>
          <w:rFonts w:ascii="Arial" w:hAnsi="Arial" w:cs="Arial"/>
          <w:color w:val="auto"/>
          <w:sz w:val="20"/>
          <w:szCs w:val="20"/>
        </w:rPr>
        <w:t>Ric</w:t>
      </w:r>
      <w:proofErr w:type="spellEnd"/>
      <w:r w:rsidR="00CD2BCE">
        <w:rPr>
          <w:rFonts w:ascii="Arial" w:hAnsi="Arial" w:cs="Arial"/>
          <w:color w:val="auto"/>
          <w:sz w:val="20"/>
          <w:szCs w:val="20"/>
        </w:rPr>
        <w:t xml:space="preserve"> Colacito</w:t>
      </w:r>
      <w:r w:rsidR="005204DD">
        <w:rPr>
          <w:rFonts w:ascii="Arial" w:hAnsi="Arial" w:cs="Arial"/>
          <w:color w:val="auto"/>
          <w:sz w:val="20"/>
          <w:szCs w:val="20"/>
        </w:rPr>
        <w:t xml:space="preserve"> </w:t>
      </w:r>
      <w:r w:rsidRPr="003A26F8">
        <w:rPr>
          <w:rFonts w:ascii="Arial" w:hAnsi="Arial" w:cs="Arial"/>
          <w:color w:val="auto"/>
          <w:sz w:val="20"/>
          <w:szCs w:val="20"/>
        </w:rPr>
        <w:br/>
      </w:r>
      <w:r w:rsidRPr="003A26F8">
        <w:rPr>
          <w:rFonts w:ascii="Arial" w:hAnsi="Arial" w:cs="Arial"/>
          <w:b/>
          <w:color w:val="auto"/>
          <w:sz w:val="20"/>
          <w:szCs w:val="20"/>
        </w:rPr>
        <w:t>Career Advisor</w:t>
      </w:r>
      <w:r w:rsidR="00C45413">
        <w:rPr>
          <w:rFonts w:ascii="Arial" w:hAnsi="Arial" w:cs="Arial"/>
          <w:b/>
          <w:color w:val="auto"/>
          <w:sz w:val="20"/>
          <w:szCs w:val="20"/>
        </w:rPr>
        <w:t>s</w:t>
      </w:r>
      <w:r w:rsidRPr="003A26F8">
        <w:rPr>
          <w:rFonts w:ascii="Arial" w:hAnsi="Arial" w:cs="Arial"/>
          <w:b/>
          <w:color w:val="auto"/>
          <w:sz w:val="20"/>
          <w:szCs w:val="20"/>
        </w:rPr>
        <w:t>:</w:t>
      </w:r>
      <w:r w:rsidRPr="003A26F8">
        <w:rPr>
          <w:rFonts w:ascii="Arial" w:hAnsi="Arial" w:cs="Arial"/>
          <w:color w:val="auto"/>
          <w:sz w:val="20"/>
          <w:szCs w:val="20"/>
        </w:rPr>
        <w:t xml:space="preserve"> </w:t>
      </w:r>
      <w:r w:rsidR="00C45413">
        <w:rPr>
          <w:rFonts w:ascii="Arial" w:hAnsi="Arial" w:cs="Arial"/>
          <w:color w:val="auto"/>
          <w:sz w:val="20"/>
          <w:szCs w:val="20"/>
        </w:rPr>
        <w:t>Alex Arapoglou</w:t>
      </w:r>
      <w:r w:rsidR="005204DD">
        <w:rPr>
          <w:rFonts w:ascii="Arial" w:hAnsi="Arial" w:cs="Arial"/>
          <w:color w:val="auto"/>
          <w:sz w:val="20"/>
          <w:szCs w:val="20"/>
        </w:rPr>
        <w:t xml:space="preserve"> (Sales &amp; Trading),</w:t>
      </w:r>
      <w:r w:rsidR="00C45413">
        <w:rPr>
          <w:rFonts w:ascii="Arial" w:hAnsi="Arial" w:cs="Arial"/>
          <w:color w:val="auto"/>
          <w:sz w:val="20"/>
          <w:szCs w:val="20"/>
        </w:rPr>
        <w:t xml:space="preserve"> </w:t>
      </w:r>
      <w:r w:rsidR="00003F0A">
        <w:rPr>
          <w:rFonts w:ascii="Arial" w:hAnsi="Arial" w:cs="Arial"/>
          <w:color w:val="auto"/>
          <w:sz w:val="20"/>
          <w:szCs w:val="20"/>
        </w:rPr>
        <w:t>Chip Snively</w:t>
      </w:r>
      <w:r w:rsidR="005204DD">
        <w:rPr>
          <w:rFonts w:ascii="Arial" w:hAnsi="Arial" w:cs="Arial"/>
          <w:color w:val="auto"/>
          <w:sz w:val="20"/>
          <w:szCs w:val="20"/>
        </w:rPr>
        <w:t xml:space="preserve"> (Portfolio Management</w:t>
      </w:r>
      <w:r w:rsidR="00701757">
        <w:rPr>
          <w:rFonts w:ascii="Arial" w:hAnsi="Arial" w:cs="Arial"/>
          <w:color w:val="auto"/>
          <w:sz w:val="20"/>
          <w:szCs w:val="20"/>
        </w:rPr>
        <w:t>, Research,</w:t>
      </w:r>
      <w:r w:rsidR="005204DD">
        <w:rPr>
          <w:rFonts w:ascii="Arial" w:hAnsi="Arial" w:cs="Arial"/>
          <w:color w:val="auto"/>
          <w:sz w:val="20"/>
          <w:szCs w:val="20"/>
        </w:rPr>
        <w:t xml:space="preserve"> and PWM)</w:t>
      </w:r>
    </w:p>
    <w:p w:rsidR="00390ECC" w:rsidRPr="003A26F8" w:rsidRDefault="00390ECC" w:rsidP="00390ECC">
      <w:pPr>
        <w:pBdr>
          <w:bottom w:val="single" w:sz="4" w:space="1" w:color="auto"/>
        </w:pBdr>
        <w:outlineLvl w:val="0"/>
        <w:rPr>
          <w:rFonts w:ascii="Arial" w:hAnsi="Arial" w:cs="Arial"/>
          <w:b/>
          <w:bCs/>
        </w:rPr>
      </w:pPr>
    </w:p>
    <w:p w:rsidR="00390ECC" w:rsidRPr="003A26F8" w:rsidRDefault="00390ECC" w:rsidP="00390ECC">
      <w:pPr>
        <w:pBdr>
          <w:bottom w:val="single" w:sz="4" w:space="1" w:color="auto"/>
        </w:pBdr>
        <w:outlineLvl w:val="0"/>
        <w:rPr>
          <w:rFonts w:ascii="Arial" w:hAnsi="Arial" w:cs="Arial"/>
          <w:b/>
          <w:bCs/>
        </w:rPr>
      </w:pPr>
      <w:r w:rsidRPr="003A26F8">
        <w:rPr>
          <w:rFonts w:ascii="Arial" w:hAnsi="Arial" w:cs="Arial"/>
          <w:b/>
          <w:bCs/>
        </w:rPr>
        <w:t>Advisory Board</w:t>
      </w:r>
    </w:p>
    <w:p w:rsidR="00390ECC" w:rsidRDefault="00390ECC" w:rsidP="00390ECC">
      <w:pPr>
        <w:rPr>
          <w:rFonts w:ascii="Arial" w:hAnsi="Arial" w:cs="Arial"/>
        </w:rPr>
      </w:pPr>
    </w:p>
    <w:p w:rsidR="00B456DE" w:rsidRPr="003A26F8" w:rsidRDefault="00B456DE" w:rsidP="00303AB4">
      <w:pPr>
        <w:jc w:val="both"/>
        <w:rPr>
          <w:rFonts w:ascii="Arial" w:hAnsi="Arial" w:cs="Arial"/>
        </w:rPr>
      </w:pPr>
      <w:r w:rsidRPr="003A26F8">
        <w:rPr>
          <w:rFonts w:ascii="Arial" w:hAnsi="Arial" w:cs="Arial"/>
        </w:rPr>
        <w:t xml:space="preserve">The </w:t>
      </w:r>
      <w:r w:rsidR="001C3F03">
        <w:rPr>
          <w:rFonts w:ascii="Arial" w:hAnsi="Arial" w:cs="Arial"/>
        </w:rPr>
        <w:t>CMI</w:t>
      </w:r>
      <w:r w:rsidR="001C3F03" w:rsidRPr="003A26F8">
        <w:rPr>
          <w:rFonts w:ascii="Arial" w:hAnsi="Arial" w:cs="Arial"/>
        </w:rPr>
        <w:t xml:space="preserve"> </w:t>
      </w:r>
      <w:r w:rsidRPr="003A26F8">
        <w:rPr>
          <w:rFonts w:ascii="Arial" w:hAnsi="Arial" w:cs="Arial"/>
        </w:rPr>
        <w:t xml:space="preserve">curriculum is constantly evolving to keep pace with changing industry practices. The faculty relies on an advisory board made up of leading industry professionals to recommend curriculum changes and provide a network for career placement.  </w:t>
      </w:r>
    </w:p>
    <w:p w:rsidR="00B456DE" w:rsidRPr="003A26F8" w:rsidRDefault="00B456DE" w:rsidP="00B456DE">
      <w:pPr>
        <w:rPr>
          <w:rFonts w:ascii="Arial" w:hAnsi="Arial" w:cs="Arial"/>
        </w:rPr>
      </w:pPr>
    </w:p>
    <w:p w:rsidR="00B456DE" w:rsidRDefault="00B456DE" w:rsidP="00B456DE">
      <w:pPr>
        <w:rPr>
          <w:rFonts w:ascii="Arial" w:hAnsi="Arial" w:cs="Arial"/>
        </w:rPr>
      </w:pPr>
      <w:r w:rsidRPr="003A26F8">
        <w:rPr>
          <w:rFonts w:ascii="Arial" w:hAnsi="Arial" w:cs="Arial"/>
        </w:rPr>
        <w:t>Current advisory board members include:</w:t>
      </w:r>
    </w:p>
    <w:p w:rsidR="000E115F" w:rsidRDefault="000E115F" w:rsidP="00B456DE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9"/>
        <w:gridCol w:w="5391"/>
      </w:tblGrid>
      <w:tr w:rsidR="0022427A" w:rsidRPr="009773E6" w:rsidTr="00605577">
        <w:tc>
          <w:tcPr>
            <w:tcW w:w="5508" w:type="dxa"/>
          </w:tcPr>
          <w:p w:rsidR="0022427A" w:rsidRPr="009773E6" w:rsidRDefault="0022427A" w:rsidP="00605577">
            <w:pPr>
              <w:rPr>
                <w:rFonts w:ascii="Arial" w:hAnsi="Arial" w:cs="Arial"/>
                <w:b/>
              </w:rPr>
            </w:pPr>
            <w:r w:rsidRPr="009773E6">
              <w:rPr>
                <w:rFonts w:ascii="Arial" w:hAnsi="Arial" w:cs="Arial"/>
                <w:b/>
              </w:rPr>
              <w:t>Michael Hussey</w:t>
            </w:r>
          </w:p>
          <w:p w:rsidR="0022427A" w:rsidRPr="009773E6" w:rsidRDefault="0022427A" w:rsidP="00605577">
            <w:pPr>
              <w:rPr>
                <w:rFonts w:ascii="Arial" w:hAnsi="Arial" w:cs="Arial"/>
              </w:rPr>
            </w:pPr>
            <w:r w:rsidRPr="009773E6">
              <w:rPr>
                <w:rFonts w:ascii="Arial" w:hAnsi="Arial" w:cs="Arial"/>
              </w:rPr>
              <w:t>Executive Vice President</w:t>
            </w:r>
          </w:p>
          <w:p w:rsidR="0022427A" w:rsidRPr="009773E6" w:rsidRDefault="0022427A" w:rsidP="00605577">
            <w:pPr>
              <w:rPr>
                <w:rFonts w:ascii="Arial" w:hAnsi="Arial" w:cs="Arial"/>
              </w:rPr>
            </w:pPr>
            <w:proofErr w:type="spellStart"/>
            <w:r w:rsidRPr="009773E6">
              <w:rPr>
                <w:rFonts w:ascii="Arial" w:hAnsi="Arial" w:cs="Arial"/>
              </w:rPr>
              <w:t>Bufka</w:t>
            </w:r>
            <w:proofErr w:type="spellEnd"/>
            <w:r w:rsidRPr="009773E6">
              <w:rPr>
                <w:rFonts w:ascii="Arial" w:hAnsi="Arial" w:cs="Arial"/>
              </w:rPr>
              <w:t xml:space="preserve"> &amp; Rogers LLC</w:t>
            </w:r>
          </w:p>
          <w:p w:rsidR="0022427A" w:rsidRPr="009773E6" w:rsidRDefault="0022427A" w:rsidP="00605577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22427A" w:rsidRPr="009773E6" w:rsidRDefault="0022427A" w:rsidP="00605577">
            <w:pPr>
              <w:rPr>
                <w:rFonts w:ascii="Arial" w:hAnsi="Arial" w:cs="Arial"/>
                <w:b/>
              </w:rPr>
            </w:pPr>
            <w:r w:rsidRPr="009773E6">
              <w:rPr>
                <w:rFonts w:ascii="Arial" w:hAnsi="Arial" w:cs="Arial"/>
                <w:b/>
              </w:rPr>
              <w:t>Patrick Hartley</w:t>
            </w:r>
          </w:p>
          <w:p w:rsidR="0022427A" w:rsidRPr="009773E6" w:rsidRDefault="0022427A" w:rsidP="00605577">
            <w:pPr>
              <w:rPr>
                <w:rFonts w:ascii="Arial" w:hAnsi="Arial" w:cs="Arial"/>
              </w:rPr>
            </w:pPr>
            <w:r w:rsidRPr="009773E6">
              <w:rPr>
                <w:rFonts w:ascii="Arial" w:hAnsi="Arial" w:cs="Arial"/>
              </w:rPr>
              <w:t>Senior Vice President</w:t>
            </w:r>
          </w:p>
          <w:p w:rsidR="0022427A" w:rsidRPr="009773E6" w:rsidRDefault="007E2069" w:rsidP="00605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Stanley/Greystone Consulting</w:t>
            </w:r>
          </w:p>
          <w:p w:rsidR="0022427A" w:rsidRPr="009773E6" w:rsidRDefault="0022427A" w:rsidP="00605577">
            <w:pPr>
              <w:rPr>
                <w:rFonts w:ascii="Arial" w:hAnsi="Arial" w:cs="Arial"/>
              </w:rPr>
            </w:pPr>
          </w:p>
        </w:tc>
      </w:tr>
      <w:tr w:rsidR="0022427A" w:rsidRPr="009773E6" w:rsidTr="00605577">
        <w:tc>
          <w:tcPr>
            <w:tcW w:w="5508" w:type="dxa"/>
          </w:tcPr>
          <w:p w:rsidR="0022427A" w:rsidRDefault="0022427A" w:rsidP="00605577">
            <w:pPr>
              <w:rPr>
                <w:rFonts w:ascii="Arial" w:hAnsi="Arial" w:cs="Arial"/>
                <w:b/>
              </w:rPr>
            </w:pPr>
            <w:r w:rsidRPr="009773E6">
              <w:rPr>
                <w:rFonts w:ascii="Arial" w:hAnsi="Arial" w:cs="Arial"/>
                <w:b/>
              </w:rPr>
              <w:t>Gregg Ireland</w:t>
            </w:r>
          </w:p>
          <w:p w:rsidR="00C17604" w:rsidRPr="00C17604" w:rsidRDefault="00C17604" w:rsidP="00605577">
            <w:pPr>
              <w:rPr>
                <w:rFonts w:ascii="Arial" w:hAnsi="Arial" w:cs="Arial"/>
              </w:rPr>
            </w:pPr>
            <w:r w:rsidRPr="00C17604">
              <w:rPr>
                <w:rFonts w:ascii="Arial" w:hAnsi="Arial" w:cs="Arial"/>
              </w:rPr>
              <w:t>Equity Portfolio Manager</w:t>
            </w:r>
          </w:p>
          <w:p w:rsidR="0022427A" w:rsidRPr="009773E6" w:rsidRDefault="0022427A" w:rsidP="00605577">
            <w:pPr>
              <w:rPr>
                <w:rFonts w:ascii="Arial" w:hAnsi="Arial" w:cs="Arial"/>
              </w:rPr>
            </w:pPr>
            <w:r w:rsidRPr="009773E6">
              <w:rPr>
                <w:rFonts w:ascii="Arial" w:hAnsi="Arial" w:cs="Arial"/>
              </w:rPr>
              <w:t>Capital Research &amp; Management Company</w:t>
            </w:r>
          </w:p>
          <w:p w:rsidR="0022427A" w:rsidRPr="009773E6" w:rsidRDefault="0022427A" w:rsidP="00605577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22427A" w:rsidRDefault="00227431" w:rsidP="002274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Xan Moore</w:t>
            </w:r>
          </w:p>
          <w:p w:rsidR="00C17604" w:rsidRPr="00C17604" w:rsidRDefault="00C17604" w:rsidP="00227431">
            <w:pPr>
              <w:rPr>
                <w:rFonts w:ascii="Arial" w:hAnsi="Arial" w:cs="Arial"/>
              </w:rPr>
            </w:pPr>
            <w:r w:rsidRPr="00C17604">
              <w:rPr>
                <w:rFonts w:ascii="Arial" w:hAnsi="Arial" w:cs="Arial"/>
              </w:rPr>
              <w:t>Carlson Capital</w:t>
            </w:r>
          </w:p>
        </w:tc>
      </w:tr>
      <w:tr w:rsidR="0022427A" w:rsidRPr="009773E6" w:rsidTr="00605577">
        <w:tc>
          <w:tcPr>
            <w:tcW w:w="5508" w:type="dxa"/>
          </w:tcPr>
          <w:p w:rsidR="0022427A" w:rsidRPr="009773E6" w:rsidRDefault="0022427A" w:rsidP="00605577">
            <w:pPr>
              <w:pStyle w:val="Heading1"/>
              <w:rPr>
                <w:rFonts w:ascii="Arial" w:hAnsi="Arial" w:cs="Arial"/>
                <w:b/>
                <w:sz w:val="20"/>
              </w:rPr>
            </w:pPr>
            <w:r w:rsidRPr="009773E6">
              <w:rPr>
                <w:rFonts w:ascii="Arial" w:hAnsi="Arial" w:cs="Arial"/>
                <w:b/>
                <w:sz w:val="20"/>
              </w:rPr>
              <w:t>Kevin M. Johnson</w:t>
            </w:r>
          </w:p>
          <w:p w:rsidR="0022427A" w:rsidRPr="009773E6" w:rsidRDefault="0022427A" w:rsidP="00605577">
            <w:pPr>
              <w:rPr>
                <w:rFonts w:ascii="Arial" w:hAnsi="Arial" w:cs="Arial"/>
              </w:rPr>
            </w:pPr>
            <w:proofErr w:type="spellStart"/>
            <w:r w:rsidRPr="009773E6">
              <w:rPr>
                <w:rFonts w:ascii="Arial" w:hAnsi="Arial" w:cs="Arial"/>
              </w:rPr>
              <w:t>Aronson+Johnson+Ortiz</w:t>
            </w:r>
            <w:proofErr w:type="spellEnd"/>
            <w:r w:rsidRPr="009773E6">
              <w:rPr>
                <w:rFonts w:ascii="Arial" w:hAnsi="Arial" w:cs="Arial"/>
              </w:rPr>
              <w:t>, LP</w:t>
            </w:r>
          </w:p>
          <w:p w:rsidR="0022427A" w:rsidRPr="009773E6" w:rsidRDefault="0022427A" w:rsidP="00605577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22427A" w:rsidRPr="009773E6" w:rsidRDefault="00227431" w:rsidP="00605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Jim Jones</w:t>
            </w:r>
            <w:r w:rsidR="00C17604">
              <w:rPr>
                <w:rFonts w:ascii="Arial" w:hAnsi="Arial" w:cs="Arial"/>
                <w:b/>
              </w:rPr>
              <w:t>, CFA</w:t>
            </w:r>
          </w:p>
          <w:p w:rsidR="0022427A" w:rsidRPr="009773E6" w:rsidRDefault="00C17604" w:rsidP="00605577">
            <w:pPr>
              <w:rPr>
                <w:rFonts w:ascii="Arial" w:hAnsi="Arial" w:cs="Arial"/>
              </w:rPr>
            </w:pPr>
            <w:r w:rsidRPr="00C17604">
              <w:rPr>
                <w:rFonts w:ascii="Arial" w:hAnsi="Arial" w:cs="Arial"/>
              </w:rPr>
              <w:t>William Blair &amp; Company</w:t>
            </w:r>
          </w:p>
        </w:tc>
      </w:tr>
      <w:tr w:rsidR="0022427A" w:rsidRPr="009773E6" w:rsidTr="00605577">
        <w:tc>
          <w:tcPr>
            <w:tcW w:w="5508" w:type="dxa"/>
          </w:tcPr>
          <w:p w:rsidR="0022427A" w:rsidRDefault="00227431" w:rsidP="00605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Ryan </w:t>
            </w:r>
            <w:proofErr w:type="spellStart"/>
            <w:r>
              <w:rPr>
                <w:rFonts w:ascii="Arial" w:hAnsi="Arial" w:cs="Arial"/>
                <w:b/>
              </w:rPr>
              <w:t>Burgiss</w:t>
            </w:r>
            <w:proofErr w:type="spellEnd"/>
          </w:p>
          <w:p w:rsidR="00C17604" w:rsidRPr="00C17604" w:rsidRDefault="00C17604" w:rsidP="00605577">
            <w:pPr>
              <w:rPr>
                <w:rFonts w:ascii="Arial" w:hAnsi="Arial" w:cs="Arial"/>
              </w:rPr>
            </w:pPr>
            <w:r w:rsidRPr="00C17604">
              <w:rPr>
                <w:rFonts w:ascii="Arial" w:hAnsi="Arial" w:cs="Arial"/>
              </w:rPr>
              <w:t>Vice President, Equity Analyst</w:t>
            </w:r>
          </w:p>
          <w:p w:rsidR="0022427A" w:rsidRDefault="00C17604" w:rsidP="00605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Rowe Price</w:t>
            </w:r>
          </w:p>
          <w:p w:rsidR="00C17604" w:rsidRPr="009773E6" w:rsidRDefault="00C17604" w:rsidP="00605577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22427A" w:rsidRDefault="00227431" w:rsidP="00605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Don </w:t>
            </w:r>
            <w:proofErr w:type="spellStart"/>
            <w:r>
              <w:rPr>
                <w:rFonts w:ascii="Arial" w:hAnsi="Arial" w:cs="Arial"/>
                <w:b/>
              </w:rPr>
              <w:t>Kilbride</w:t>
            </w:r>
            <w:proofErr w:type="spellEnd"/>
          </w:p>
          <w:p w:rsidR="00C17604" w:rsidRPr="00C17604" w:rsidRDefault="00C17604" w:rsidP="00605577">
            <w:pPr>
              <w:rPr>
                <w:rFonts w:ascii="Arial" w:hAnsi="Arial" w:cs="Arial"/>
              </w:rPr>
            </w:pPr>
            <w:r w:rsidRPr="00C17604">
              <w:rPr>
                <w:rFonts w:ascii="Arial" w:hAnsi="Arial" w:cs="Arial"/>
              </w:rPr>
              <w:t>Portfolio Manager</w:t>
            </w:r>
          </w:p>
          <w:p w:rsidR="00C17604" w:rsidRPr="009773E6" w:rsidRDefault="00C17604" w:rsidP="00605577">
            <w:pPr>
              <w:rPr>
                <w:rFonts w:ascii="Arial" w:hAnsi="Arial" w:cs="Arial"/>
              </w:rPr>
            </w:pPr>
            <w:r w:rsidRPr="00C17604">
              <w:rPr>
                <w:rFonts w:ascii="Arial" w:hAnsi="Arial" w:cs="Arial"/>
              </w:rPr>
              <w:t>Wellington Management Co.</w:t>
            </w:r>
          </w:p>
          <w:p w:rsidR="0022427A" w:rsidRPr="009773E6" w:rsidRDefault="0022427A" w:rsidP="00605577">
            <w:pPr>
              <w:rPr>
                <w:rFonts w:ascii="Arial" w:hAnsi="Arial" w:cs="Arial"/>
              </w:rPr>
            </w:pPr>
          </w:p>
        </w:tc>
      </w:tr>
      <w:tr w:rsidR="00003F0A" w:rsidRPr="009773E6" w:rsidTr="00605577">
        <w:tc>
          <w:tcPr>
            <w:tcW w:w="5508" w:type="dxa"/>
          </w:tcPr>
          <w:p w:rsidR="00003F0A" w:rsidRDefault="00003F0A" w:rsidP="00497C34">
            <w:pPr>
              <w:rPr>
                <w:rFonts w:ascii="Arial" w:hAnsi="Arial" w:cs="Arial"/>
                <w:b/>
              </w:rPr>
            </w:pPr>
            <w:r w:rsidRPr="00C17604">
              <w:rPr>
                <w:rFonts w:ascii="Arial" w:hAnsi="Arial" w:cs="Arial"/>
                <w:b/>
              </w:rPr>
              <w:t>Brian Hogan</w:t>
            </w:r>
          </w:p>
          <w:p w:rsidR="00C17604" w:rsidRPr="00C17604" w:rsidRDefault="00C17604" w:rsidP="00497C34">
            <w:pPr>
              <w:rPr>
                <w:rFonts w:ascii="Arial" w:hAnsi="Arial" w:cs="Arial"/>
              </w:rPr>
            </w:pPr>
            <w:r w:rsidRPr="00C17604">
              <w:rPr>
                <w:rFonts w:ascii="Arial" w:hAnsi="Arial" w:cs="Arial"/>
              </w:rPr>
              <w:t>President, Equity Division</w:t>
            </w:r>
          </w:p>
          <w:p w:rsidR="00003F0A" w:rsidRPr="009773E6" w:rsidRDefault="00003F0A" w:rsidP="0049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</w:t>
            </w:r>
            <w:r w:rsidR="00C17604">
              <w:rPr>
                <w:rFonts w:ascii="Arial" w:hAnsi="Arial" w:cs="Arial"/>
              </w:rPr>
              <w:t xml:space="preserve"> Management &amp; Research Company</w:t>
            </w:r>
          </w:p>
        </w:tc>
        <w:tc>
          <w:tcPr>
            <w:tcW w:w="5508" w:type="dxa"/>
          </w:tcPr>
          <w:p w:rsidR="00C17604" w:rsidRPr="00C17604" w:rsidRDefault="00C17604" w:rsidP="00605577">
            <w:pPr>
              <w:rPr>
                <w:rFonts w:ascii="Arial" w:hAnsi="Arial" w:cs="Arial"/>
                <w:b/>
              </w:rPr>
            </w:pPr>
            <w:r w:rsidRPr="00C17604">
              <w:rPr>
                <w:rFonts w:ascii="Arial" w:hAnsi="Arial" w:cs="Arial"/>
                <w:b/>
              </w:rPr>
              <w:t xml:space="preserve">Ellyn </w:t>
            </w:r>
            <w:proofErr w:type="spellStart"/>
            <w:r w:rsidRPr="00C17604">
              <w:rPr>
                <w:rFonts w:ascii="Arial" w:hAnsi="Arial" w:cs="Arial"/>
                <w:b/>
              </w:rPr>
              <w:t>Korzun</w:t>
            </w:r>
            <w:proofErr w:type="spellEnd"/>
          </w:p>
          <w:p w:rsidR="00C17604" w:rsidRPr="00C17604" w:rsidRDefault="00C17604" w:rsidP="00C17604">
            <w:pPr>
              <w:rPr>
                <w:rFonts w:ascii="Arial" w:hAnsi="Arial" w:cs="Arial"/>
              </w:rPr>
            </w:pPr>
            <w:r w:rsidRPr="00C17604">
              <w:rPr>
                <w:rFonts w:ascii="Arial" w:hAnsi="Arial" w:cs="Arial"/>
              </w:rPr>
              <w:t>Senior Portfolio Manager - Fixed Income</w:t>
            </w:r>
          </w:p>
          <w:p w:rsidR="00003F0A" w:rsidRPr="009773E6" w:rsidRDefault="00C17604" w:rsidP="00C17604">
            <w:pPr>
              <w:rPr>
                <w:rFonts w:ascii="Arial" w:hAnsi="Arial" w:cs="Arial"/>
              </w:rPr>
            </w:pPr>
            <w:r w:rsidRPr="00C17604">
              <w:rPr>
                <w:rFonts w:ascii="Arial" w:hAnsi="Arial" w:cs="Arial"/>
              </w:rPr>
              <w:t>TIAA-CREF Trust Company, FSB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E115F" w:rsidRDefault="000E115F" w:rsidP="00B456DE">
      <w:pPr>
        <w:rPr>
          <w:rFonts w:ascii="Arial" w:hAnsi="Arial" w:cs="Arial"/>
        </w:rPr>
      </w:pPr>
    </w:p>
    <w:p w:rsidR="000E115F" w:rsidRDefault="000E115F" w:rsidP="00B456DE">
      <w:pPr>
        <w:rPr>
          <w:rFonts w:ascii="Arial" w:hAnsi="Arial" w:cs="Arial"/>
        </w:rPr>
      </w:pPr>
    </w:p>
    <w:p w:rsidR="00E46C1A" w:rsidRDefault="00E46C1A" w:rsidP="000E115F">
      <w:pPr>
        <w:spacing w:after="60"/>
        <w:rPr>
          <w:rFonts w:ascii="Arial" w:hAnsi="Arial" w:cs="Arial"/>
          <w:b/>
          <w:bCs/>
        </w:rPr>
      </w:pPr>
    </w:p>
    <w:p w:rsidR="00B456DE" w:rsidRPr="00D766E2" w:rsidRDefault="000E115F" w:rsidP="00B456DE">
      <w:pPr>
        <w:pBdr>
          <w:bottom w:val="single" w:sz="4" w:space="1" w:color="auto"/>
        </w:pBd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B456DE" w:rsidRPr="00D766E2">
        <w:rPr>
          <w:rFonts w:ascii="Arial" w:hAnsi="Arial" w:cs="Arial"/>
          <w:b/>
          <w:bCs/>
        </w:rPr>
        <w:lastRenderedPageBreak/>
        <w:t>Concentration Requirements</w:t>
      </w:r>
    </w:p>
    <w:p w:rsidR="00B456DE" w:rsidRPr="00D766E2" w:rsidRDefault="00B456DE" w:rsidP="00B456DE">
      <w:pPr>
        <w:rPr>
          <w:rFonts w:ascii="Arial" w:hAnsi="Arial" w:cs="Arial"/>
          <w:b/>
          <w:sz w:val="16"/>
          <w:szCs w:val="16"/>
        </w:rPr>
      </w:pPr>
    </w:p>
    <w:p w:rsidR="00565F6C" w:rsidRPr="00D766E2" w:rsidRDefault="0022427A" w:rsidP="00D766E2">
      <w:pPr>
        <w:jc w:val="both"/>
        <w:rPr>
          <w:rFonts w:ascii="Arial" w:hAnsi="Arial" w:cs="Arial"/>
        </w:rPr>
      </w:pPr>
      <w:r w:rsidRPr="00D766E2">
        <w:rPr>
          <w:rFonts w:ascii="Arial" w:hAnsi="Arial" w:cs="Arial"/>
          <w:bCs/>
        </w:rPr>
        <w:t xml:space="preserve">In addition to the core courses required of all students, </w:t>
      </w:r>
      <w:r w:rsidR="001C3F03" w:rsidRPr="00D766E2">
        <w:rPr>
          <w:rFonts w:ascii="Arial" w:hAnsi="Arial" w:cs="Arial"/>
          <w:bCs/>
        </w:rPr>
        <w:t xml:space="preserve">CMI </w:t>
      </w:r>
      <w:r w:rsidRPr="00D766E2">
        <w:rPr>
          <w:rFonts w:ascii="Arial" w:hAnsi="Arial" w:cs="Arial"/>
        </w:rPr>
        <w:t>students must complete</w:t>
      </w:r>
      <w:r w:rsidR="009C0949" w:rsidRPr="00D766E2">
        <w:rPr>
          <w:rFonts w:ascii="Arial" w:hAnsi="Arial" w:cs="Arial"/>
        </w:rPr>
        <w:t xml:space="preserve"> the required courses and 4.5 hours of other electives from the list provided for at least one of two tracks.</w:t>
      </w:r>
      <w:r w:rsidR="00565F6C" w:rsidRPr="00D766E2">
        <w:rPr>
          <w:rFonts w:ascii="Arial" w:hAnsi="Arial" w:cs="Arial"/>
        </w:rPr>
        <w:t xml:space="preserve"> Students may place out of a required course by demonstrating proficiency of the material covered in the class but students must complete an equivalent number of credit hours with other electives.</w:t>
      </w:r>
      <w:r w:rsidR="00565F6C" w:rsidRPr="00D766E2">
        <w:rPr>
          <w:rStyle w:val="FootnoteReference"/>
          <w:rFonts w:ascii="Arial" w:hAnsi="Arial" w:cs="Arial"/>
        </w:rPr>
        <w:footnoteReference w:id="1"/>
      </w:r>
      <w:r w:rsidR="00565F6C" w:rsidRPr="00D766E2">
        <w:rPr>
          <w:rFonts w:ascii="Arial" w:hAnsi="Arial" w:cs="Arial"/>
        </w:rPr>
        <w:t xml:space="preserve">  </w:t>
      </w:r>
    </w:p>
    <w:p w:rsidR="00565F6C" w:rsidRPr="00165AC6" w:rsidRDefault="00565F6C" w:rsidP="0022427A">
      <w:pPr>
        <w:rPr>
          <w:rFonts w:ascii="Arial" w:hAnsi="Arial" w:cs="Arial"/>
          <w:color w:val="FF0000"/>
        </w:rPr>
      </w:pPr>
    </w:p>
    <w:p w:rsidR="00565F6C" w:rsidRPr="00D766E2" w:rsidRDefault="00565F6C" w:rsidP="0022427A">
      <w:pPr>
        <w:rPr>
          <w:rFonts w:ascii="Arial" w:hAnsi="Arial" w:cs="Arial"/>
          <w:b/>
          <w:i/>
          <w:u w:val="single"/>
        </w:rPr>
      </w:pPr>
      <w:r w:rsidRPr="00D766E2">
        <w:rPr>
          <w:rFonts w:ascii="Arial" w:hAnsi="Arial" w:cs="Arial"/>
          <w:b/>
          <w:i/>
          <w:u w:val="single"/>
        </w:rPr>
        <w:t>Track I (Equity Valuation and Applied Investments)</w:t>
      </w:r>
    </w:p>
    <w:p w:rsidR="00565F6C" w:rsidRPr="00D766E2" w:rsidRDefault="00565F6C" w:rsidP="0022427A">
      <w:pPr>
        <w:rPr>
          <w:rFonts w:ascii="Arial" w:hAnsi="Arial" w:cs="Arial"/>
        </w:rPr>
      </w:pPr>
    </w:p>
    <w:p w:rsidR="00565F6C" w:rsidRPr="00D766E2" w:rsidRDefault="00565F6C" w:rsidP="0022427A">
      <w:pPr>
        <w:rPr>
          <w:rFonts w:ascii="Arial" w:hAnsi="Arial" w:cs="Arial"/>
          <w:b/>
        </w:rPr>
      </w:pPr>
      <w:r w:rsidRPr="00D766E2">
        <w:rPr>
          <w:rFonts w:ascii="Arial" w:hAnsi="Arial" w:cs="Arial"/>
          <w:b/>
        </w:rPr>
        <w:t>Required for CMI Concentrators</w:t>
      </w:r>
    </w:p>
    <w:p w:rsidR="00565F6C" w:rsidRPr="00D766E2" w:rsidRDefault="00565F6C" w:rsidP="00565F6C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779, Applied Investment Management</w:t>
      </w:r>
      <w:r w:rsidR="00D766E2" w:rsidRPr="00D766E2">
        <w:rPr>
          <w:rFonts w:ascii="Arial" w:hAnsi="Arial" w:cs="Arial"/>
        </w:rPr>
        <w:t xml:space="preserve"> (apply in 1</w:t>
      </w:r>
      <w:r w:rsidR="00D766E2" w:rsidRPr="00D766E2">
        <w:rPr>
          <w:rFonts w:ascii="Arial" w:hAnsi="Arial" w:cs="Arial"/>
          <w:vertAlign w:val="superscript"/>
        </w:rPr>
        <w:t>st</w:t>
      </w:r>
      <w:r w:rsidR="00D766E2" w:rsidRPr="00D766E2">
        <w:rPr>
          <w:rFonts w:ascii="Arial" w:hAnsi="Arial" w:cs="Arial"/>
        </w:rPr>
        <w:t xml:space="preserve"> year)</w:t>
      </w:r>
    </w:p>
    <w:p w:rsidR="00565F6C" w:rsidRPr="00D766E2" w:rsidRDefault="00565F6C" w:rsidP="0022427A">
      <w:pPr>
        <w:rPr>
          <w:rFonts w:ascii="Arial" w:hAnsi="Arial" w:cs="Arial"/>
        </w:rPr>
      </w:pPr>
    </w:p>
    <w:p w:rsidR="00565F6C" w:rsidRPr="00D766E2" w:rsidRDefault="00565F6C" w:rsidP="0022427A">
      <w:pPr>
        <w:rPr>
          <w:rFonts w:ascii="Arial" w:hAnsi="Arial" w:cs="Arial"/>
          <w:b/>
        </w:rPr>
      </w:pPr>
      <w:r w:rsidRPr="00D766E2">
        <w:rPr>
          <w:rFonts w:ascii="Arial" w:hAnsi="Arial" w:cs="Arial"/>
          <w:b/>
        </w:rPr>
        <w:t>Other Electives (a minimum of 4.5 credit hours required)</w:t>
      </w:r>
    </w:p>
    <w:p w:rsidR="00565F6C" w:rsidRPr="00D766E2" w:rsidRDefault="00565F6C" w:rsidP="00565F6C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792A, Investments (required in first year)</w:t>
      </w:r>
    </w:p>
    <w:p w:rsidR="00D766E2" w:rsidRPr="00D766E2" w:rsidRDefault="00565F6C" w:rsidP="00D766E2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786A, Quantitative Methods in Finance (recommended in first year)</w:t>
      </w:r>
    </w:p>
    <w:p w:rsidR="00D766E2" w:rsidRPr="00D766E2" w:rsidRDefault="00D766E2" w:rsidP="00D766E2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733, Financial Statement Analysis (highly recommended)</w:t>
      </w:r>
    </w:p>
    <w:p w:rsidR="00D766E2" w:rsidRPr="00D766E2" w:rsidRDefault="00D766E2" w:rsidP="00D766E2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797, Financial Risk Management (highly recommended)</w:t>
      </w:r>
    </w:p>
    <w:p w:rsidR="00D766E2" w:rsidRPr="00D766E2" w:rsidRDefault="00D766E2" w:rsidP="00D766E2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777, Fundamental Principles of Corporate Finance</w:t>
      </w:r>
    </w:p>
    <w:p w:rsidR="00565F6C" w:rsidRPr="00D766E2" w:rsidRDefault="00565F6C" w:rsidP="00565F6C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*MBA 791, Fixed Income</w:t>
      </w:r>
    </w:p>
    <w:p w:rsidR="00565F6C" w:rsidRPr="00D766E2" w:rsidRDefault="00565F6C" w:rsidP="00565F6C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*MBA 783, Derivatives</w:t>
      </w:r>
    </w:p>
    <w:p w:rsidR="00565F6C" w:rsidRPr="00D766E2" w:rsidRDefault="00565F6C" w:rsidP="00565F6C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 xml:space="preserve">*MBA 793D, Alternative Investments </w:t>
      </w:r>
    </w:p>
    <w:p w:rsidR="00565F6C" w:rsidRPr="00D766E2" w:rsidRDefault="00565F6C" w:rsidP="00565F6C">
      <w:pPr>
        <w:numPr>
          <w:ilvl w:val="0"/>
          <w:numId w:val="11"/>
        </w:numPr>
        <w:tabs>
          <w:tab w:val="clear" w:pos="720"/>
          <w:tab w:val="num" w:pos="360"/>
        </w:tabs>
        <w:ind w:hanging="540"/>
        <w:rPr>
          <w:rFonts w:ascii="Arial" w:hAnsi="Arial" w:cs="Arial"/>
        </w:rPr>
      </w:pPr>
      <w:r w:rsidRPr="00D766E2">
        <w:rPr>
          <w:rFonts w:ascii="Arial" w:hAnsi="Arial" w:cs="Arial"/>
        </w:rPr>
        <w:t xml:space="preserve">MBA 791A: Current Topics in Finance: </w:t>
      </w:r>
      <w:r w:rsidR="008C24C1">
        <w:rPr>
          <w:rFonts w:ascii="Arial" w:hAnsi="Arial" w:cs="Arial"/>
        </w:rPr>
        <w:t>FinT</w:t>
      </w:r>
      <w:r w:rsidR="00BA7A08">
        <w:rPr>
          <w:rFonts w:ascii="Arial" w:hAnsi="Arial" w:cs="Arial"/>
        </w:rPr>
        <w:t>ech</w:t>
      </w:r>
    </w:p>
    <w:p w:rsidR="00565F6C" w:rsidRPr="00D766E2" w:rsidRDefault="00565F6C" w:rsidP="00565F6C">
      <w:pPr>
        <w:numPr>
          <w:ilvl w:val="0"/>
          <w:numId w:val="9"/>
        </w:numPr>
        <w:tabs>
          <w:tab w:val="clear" w:pos="720"/>
          <w:tab w:val="num" w:pos="360"/>
        </w:tabs>
        <w:ind w:hanging="540"/>
        <w:rPr>
          <w:rFonts w:ascii="Arial" w:hAnsi="Arial" w:cs="Arial"/>
        </w:rPr>
      </w:pPr>
      <w:r w:rsidRPr="00D766E2">
        <w:rPr>
          <w:rFonts w:ascii="Arial" w:hAnsi="Arial" w:cs="Arial"/>
        </w:rPr>
        <w:t>MBA 794: Private Wealth Management</w:t>
      </w:r>
    </w:p>
    <w:p w:rsidR="00565F6C" w:rsidRPr="00D766E2" w:rsidRDefault="00565F6C" w:rsidP="00565F6C">
      <w:pPr>
        <w:numPr>
          <w:ilvl w:val="0"/>
          <w:numId w:val="9"/>
        </w:numPr>
        <w:tabs>
          <w:tab w:val="clear" w:pos="720"/>
          <w:tab w:val="num" w:pos="360"/>
        </w:tabs>
        <w:ind w:hanging="540"/>
        <w:rPr>
          <w:rFonts w:ascii="Arial" w:hAnsi="Arial" w:cs="Arial"/>
        </w:rPr>
      </w:pPr>
      <w:r w:rsidRPr="00D766E2">
        <w:rPr>
          <w:rFonts w:ascii="Arial" w:hAnsi="Arial" w:cs="Arial"/>
        </w:rPr>
        <w:t xml:space="preserve">MBA 796, Global </w:t>
      </w:r>
      <w:r w:rsidR="008C24C1">
        <w:rPr>
          <w:rFonts w:ascii="Arial" w:hAnsi="Arial" w:cs="Arial"/>
        </w:rPr>
        <w:t xml:space="preserve">Finance </w:t>
      </w:r>
      <w:r w:rsidR="00BC39C6">
        <w:rPr>
          <w:rFonts w:ascii="Arial" w:hAnsi="Arial" w:cs="Arial"/>
        </w:rPr>
        <w:t>&amp;</w:t>
      </w:r>
      <w:r w:rsidR="008C24C1">
        <w:rPr>
          <w:rFonts w:ascii="Arial" w:hAnsi="Arial" w:cs="Arial"/>
        </w:rPr>
        <w:t xml:space="preserve"> Emerging</w:t>
      </w:r>
      <w:r w:rsidRPr="00D766E2">
        <w:rPr>
          <w:rFonts w:ascii="Arial" w:hAnsi="Arial" w:cs="Arial"/>
        </w:rPr>
        <w:t xml:space="preserve"> Markets</w:t>
      </w:r>
    </w:p>
    <w:p w:rsidR="00565F6C" w:rsidRPr="00D766E2" w:rsidRDefault="00565F6C" w:rsidP="00565F6C">
      <w:pPr>
        <w:numPr>
          <w:ilvl w:val="0"/>
          <w:numId w:val="9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846A, Private Equity</w:t>
      </w:r>
    </w:p>
    <w:p w:rsidR="00565F6C" w:rsidRPr="00D766E2" w:rsidRDefault="00565F6C" w:rsidP="00565F6C">
      <w:pPr>
        <w:numPr>
          <w:ilvl w:val="0"/>
          <w:numId w:val="9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 xml:space="preserve">MBA 853F, Real Estate Finance </w:t>
      </w:r>
      <w:r w:rsidRPr="008C24C1">
        <w:rPr>
          <w:rFonts w:ascii="Arial" w:hAnsi="Arial" w:cs="Arial"/>
          <w:u w:val="single"/>
        </w:rPr>
        <w:t>or</w:t>
      </w:r>
      <w:r w:rsidRPr="00D766E2">
        <w:rPr>
          <w:rFonts w:ascii="Arial" w:hAnsi="Arial" w:cs="Arial"/>
        </w:rPr>
        <w:t xml:space="preserve"> MBA 853 Real Estate and Capital Markets</w:t>
      </w:r>
    </w:p>
    <w:p w:rsidR="00565F6C" w:rsidRPr="00D766E2" w:rsidRDefault="00565F6C" w:rsidP="0022427A">
      <w:pPr>
        <w:rPr>
          <w:rFonts w:ascii="Arial" w:hAnsi="Arial" w:cs="Arial"/>
        </w:rPr>
      </w:pPr>
      <w:bookmarkStart w:id="0" w:name="_GoBack"/>
      <w:bookmarkEnd w:id="0"/>
    </w:p>
    <w:p w:rsidR="00565F6C" w:rsidRPr="00D766E2" w:rsidRDefault="00565F6C" w:rsidP="0022427A">
      <w:pPr>
        <w:rPr>
          <w:rFonts w:ascii="Arial" w:hAnsi="Arial" w:cs="Arial"/>
        </w:rPr>
      </w:pPr>
    </w:p>
    <w:p w:rsidR="00565F6C" w:rsidRPr="00D766E2" w:rsidRDefault="00565F6C" w:rsidP="00565F6C">
      <w:pPr>
        <w:rPr>
          <w:rFonts w:ascii="Arial" w:hAnsi="Arial" w:cs="Arial"/>
          <w:b/>
          <w:i/>
          <w:u w:val="single"/>
        </w:rPr>
      </w:pPr>
      <w:r w:rsidRPr="00D766E2">
        <w:rPr>
          <w:rFonts w:ascii="Arial" w:hAnsi="Arial" w:cs="Arial"/>
          <w:b/>
          <w:i/>
          <w:u w:val="single"/>
        </w:rPr>
        <w:t>Track II (Portfolio Management and Investment Tools)</w:t>
      </w:r>
    </w:p>
    <w:p w:rsidR="00565F6C" w:rsidRPr="00D766E2" w:rsidRDefault="00565F6C" w:rsidP="0022427A">
      <w:pPr>
        <w:rPr>
          <w:rFonts w:ascii="Arial" w:hAnsi="Arial" w:cs="Arial"/>
        </w:rPr>
      </w:pPr>
    </w:p>
    <w:p w:rsidR="00565F6C" w:rsidRPr="00D766E2" w:rsidRDefault="00565F6C" w:rsidP="00565F6C">
      <w:pPr>
        <w:rPr>
          <w:rFonts w:ascii="Arial" w:hAnsi="Arial" w:cs="Arial"/>
          <w:b/>
        </w:rPr>
      </w:pPr>
      <w:r w:rsidRPr="00D766E2">
        <w:rPr>
          <w:rFonts w:ascii="Arial" w:hAnsi="Arial" w:cs="Arial"/>
          <w:b/>
        </w:rPr>
        <w:t>Required for CMI Concentrators</w:t>
      </w:r>
    </w:p>
    <w:p w:rsidR="00565F6C" w:rsidRPr="00D766E2" w:rsidRDefault="00565F6C" w:rsidP="00565F6C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792A, Investments (required in first year)</w:t>
      </w:r>
    </w:p>
    <w:p w:rsidR="00565F6C" w:rsidRPr="00D766E2" w:rsidRDefault="00565F6C" w:rsidP="00565F6C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*MBA 791, Fixed Income</w:t>
      </w:r>
    </w:p>
    <w:p w:rsidR="00565F6C" w:rsidRPr="00D766E2" w:rsidRDefault="00565F6C" w:rsidP="00D0737E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*MBA 783, Derivatives</w:t>
      </w:r>
    </w:p>
    <w:p w:rsidR="009C0949" w:rsidRPr="00D766E2" w:rsidRDefault="009C0949" w:rsidP="0022427A">
      <w:pPr>
        <w:rPr>
          <w:rFonts w:ascii="Arial" w:hAnsi="Arial" w:cs="Arial"/>
        </w:rPr>
      </w:pPr>
    </w:p>
    <w:p w:rsidR="0022427A" w:rsidRPr="00D766E2" w:rsidRDefault="0022427A" w:rsidP="0022427A">
      <w:pPr>
        <w:outlineLvl w:val="0"/>
        <w:rPr>
          <w:rFonts w:ascii="Arial" w:hAnsi="Arial" w:cs="Arial"/>
          <w:b/>
        </w:rPr>
      </w:pPr>
      <w:r w:rsidRPr="00D766E2">
        <w:rPr>
          <w:rFonts w:ascii="Arial" w:hAnsi="Arial" w:cs="Arial"/>
          <w:b/>
        </w:rPr>
        <w:t>Other Electives</w:t>
      </w:r>
      <w:r w:rsidR="004D1B74" w:rsidRPr="00D766E2">
        <w:rPr>
          <w:rFonts w:ascii="Arial" w:hAnsi="Arial" w:cs="Arial"/>
          <w:b/>
        </w:rPr>
        <w:t xml:space="preserve"> (a</w:t>
      </w:r>
      <w:r w:rsidR="005204DD" w:rsidRPr="00D766E2">
        <w:rPr>
          <w:rFonts w:ascii="Arial" w:hAnsi="Arial" w:cs="Arial"/>
          <w:b/>
        </w:rPr>
        <w:t xml:space="preserve"> </w:t>
      </w:r>
      <w:r w:rsidR="004D1B74" w:rsidRPr="00D766E2">
        <w:rPr>
          <w:rFonts w:ascii="Arial" w:hAnsi="Arial" w:cs="Arial"/>
          <w:b/>
        </w:rPr>
        <w:t>minimum</w:t>
      </w:r>
      <w:r w:rsidR="005204DD" w:rsidRPr="00D766E2">
        <w:rPr>
          <w:rFonts w:ascii="Arial" w:hAnsi="Arial" w:cs="Arial"/>
          <w:b/>
        </w:rPr>
        <w:t xml:space="preserve"> of 6 credit hours required)</w:t>
      </w:r>
    </w:p>
    <w:p w:rsidR="0022427A" w:rsidRPr="00D766E2" w:rsidRDefault="0022427A" w:rsidP="0022427A">
      <w:pPr>
        <w:numPr>
          <w:ilvl w:val="0"/>
          <w:numId w:val="9"/>
        </w:numPr>
        <w:tabs>
          <w:tab w:val="clear" w:pos="720"/>
          <w:tab w:val="num" w:pos="360"/>
        </w:tabs>
        <w:ind w:hanging="540"/>
        <w:rPr>
          <w:rFonts w:ascii="Arial" w:hAnsi="Arial" w:cs="Arial"/>
        </w:rPr>
      </w:pPr>
      <w:r w:rsidRPr="00D766E2">
        <w:rPr>
          <w:rFonts w:ascii="Arial" w:hAnsi="Arial" w:cs="Arial"/>
        </w:rPr>
        <w:t>MBA 779, Applied Investment Management (highly recommended – apply in 1</w:t>
      </w:r>
      <w:r w:rsidRPr="00D766E2">
        <w:rPr>
          <w:rFonts w:ascii="Arial" w:hAnsi="Arial" w:cs="Arial"/>
          <w:vertAlign w:val="superscript"/>
        </w:rPr>
        <w:t>st</w:t>
      </w:r>
      <w:r w:rsidRPr="00D766E2">
        <w:rPr>
          <w:rFonts w:ascii="Arial" w:hAnsi="Arial" w:cs="Arial"/>
        </w:rPr>
        <w:t xml:space="preserve"> Year) </w:t>
      </w:r>
    </w:p>
    <w:p w:rsidR="008C774D" w:rsidRPr="00D766E2" w:rsidRDefault="008C774D" w:rsidP="008C774D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 xml:space="preserve">MBA 797, </w:t>
      </w:r>
      <w:r w:rsidR="00433C9B" w:rsidRPr="00D766E2">
        <w:rPr>
          <w:rFonts w:ascii="Arial" w:hAnsi="Arial" w:cs="Arial"/>
        </w:rPr>
        <w:t xml:space="preserve">Financial </w:t>
      </w:r>
      <w:r w:rsidRPr="00D766E2">
        <w:rPr>
          <w:rFonts w:ascii="Arial" w:hAnsi="Arial" w:cs="Arial"/>
        </w:rPr>
        <w:t>Risk Management (highly recommended)</w:t>
      </w:r>
    </w:p>
    <w:p w:rsidR="00D766E2" w:rsidRPr="00D766E2" w:rsidRDefault="008C774D" w:rsidP="00D766E2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733, Financial Statement Analysis</w:t>
      </w:r>
      <w:r w:rsidR="00892471" w:rsidRPr="00D766E2">
        <w:rPr>
          <w:rFonts w:ascii="Arial" w:hAnsi="Arial" w:cs="Arial"/>
        </w:rPr>
        <w:t xml:space="preserve"> </w:t>
      </w:r>
      <w:r w:rsidRPr="00D766E2">
        <w:rPr>
          <w:rFonts w:ascii="Arial" w:hAnsi="Arial" w:cs="Arial"/>
        </w:rPr>
        <w:t>(highly recommended)</w:t>
      </w:r>
    </w:p>
    <w:p w:rsidR="00D766E2" w:rsidRPr="00D766E2" w:rsidRDefault="00D766E2" w:rsidP="00D766E2">
      <w:pPr>
        <w:numPr>
          <w:ilvl w:val="0"/>
          <w:numId w:val="11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777, Fundamental Principles of Corporate Finance</w:t>
      </w:r>
    </w:p>
    <w:p w:rsidR="008C774D" w:rsidRPr="00D766E2" w:rsidRDefault="008C774D" w:rsidP="004D1B74">
      <w:pPr>
        <w:numPr>
          <w:ilvl w:val="0"/>
          <w:numId w:val="11"/>
        </w:numPr>
        <w:tabs>
          <w:tab w:val="clear" w:pos="720"/>
          <w:tab w:val="num" w:pos="360"/>
        </w:tabs>
        <w:ind w:hanging="540"/>
        <w:rPr>
          <w:rFonts w:ascii="Arial" w:hAnsi="Arial" w:cs="Arial"/>
        </w:rPr>
      </w:pPr>
      <w:r w:rsidRPr="00D766E2">
        <w:rPr>
          <w:rFonts w:ascii="Arial" w:hAnsi="Arial" w:cs="Arial"/>
        </w:rPr>
        <w:t xml:space="preserve">MBA 791A: Current Topics in Finance: </w:t>
      </w:r>
      <w:r w:rsidR="008C24C1">
        <w:rPr>
          <w:rFonts w:ascii="Arial" w:hAnsi="Arial" w:cs="Arial"/>
        </w:rPr>
        <w:t>FinT</w:t>
      </w:r>
      <w:r w:rsidR="00BA7A08">
        <w:rPr>
          <w:rFonts w:ascii="Arial" w:hAnsi="Arial" w:cs="Arial"/>
        </w:rPr>
        <w:t>ech</w:t>
      </w:r>
    </w:p>
    <w:p w:rsidR="004D1B74" w:rsidRPr="00D766E2" w:rsidRDefault="004D1B74" w:rsidP="004D1B74">
      <w:pPr>
        <w:numPr>
          <w:ilvl w:val="0"/>
          <w:numId w:val="9"/>
        </w:numPr>
        <w:tabs>
          <w:tab w:val="clear" w:pos="720"/>
          <w:tab w:val="num" w:pos="360"/>
        </w:tabs>
        <w:ind w:hanging="540"/>
        <w:rPr>
          <w:rFonts w:ascii="Arial" w:hAnsi="Arial" w:cs="Arial"/>
        </w:rPr>
      </w:pPr>
      <w:r w:rsidRPr="00D766E2">
        <w:rPr>
          <w:rFonts w:ascii="Arial" w:hAnsi="Arial" w:cs="Arial"/>
        </w:rPr>
        <w:t>MBA 794: Private Wealth Management</w:t>
      </w:r>
    </w:p>
    <w:p w:rsidR="0022427A" w:rsidRPr="00D766E2" w:rsidRDefault="0022427A" w:rsidP="0022427A">
      <w:pPr>
        <w:numPr>
          <w:ilvl w:val="0"/>
          <w:numId w:val="9"/>
        </w:numPr>
        <w:tabs>
          <w:tab w:val="clear" w:pos="720"/>
          <w:tab w:val="num" w:pos="360"/>
        </w:tabs>
        <w:ind w:hanging="540"/>
        <w:rPr>
          <w:rFonts w:ascii="Arial" w:hAnsi="Arial" w:cs="Arial"/>
        </w:rPr>
      </w:pPr>
      <w:r w:rsidRPr="00D766E2">
        <w:rPr>
          <w:rFonts w:ascii="Arial" w:hAnsi="Arial" w:cs="Arial"/>
        </w:rPr>
        <w:t xml:space="preserve">MBA 796, Global </w:t>
      </w:r>
      <w:r w:rsidR="008C24C1">
        <w:rPr>
          <w:rFonts w:ascii="Arial" w:hAnsi="Arial" w:cs="Arial"/>
        </w:rPr>
        <w:t xml:space="preserve">Finance </w:t>
      </w:r>
      <w:r w:rsidR="00BC39C6">
        <w:rPr>
          <w:rFonts w:ascii="Arial" w:hAnsi="Arial" w:cs="Arial"/>
        </w:rPr>
        <w:t>&amp;</w:t>
      </w:r>
      <w:r w:rsidR="008C24C1">
        <w:rPr>
          <w:rFonts w:ascii="Arial" w:hAnsi="Arial" w:cs="Arial"/>
        </w:rPr>
        <w:t xml:space="preserve"> Emerging</w:t>
      </w:r>
      <w:r w:rsidRPr="00D766E2">
        <w:rPr>
          <w:rFonts w:ascii="Arial" w:hAnsi="Arial" w:cs="Arial"/>
        </w:rPr>
        <w:t xml:space="preserve"> Markets</w:t>
      </w:r>
    </w:p>
    <w:p w:rsidR="0022427A" w:rsidRPr="00D766E2" w:rsidRDefault="0022427A" w:rsidP="0022427A">
      <w:pPr>
        <w:numPr>
          <w:ilvl w:val="0"/>
          <w:numId w:val="9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846A, Private Equity</w:t>
      </w:r>
    </w:p>
    <w:p w:rsidR="00565F6C" w:rsidRPr="00D766E2" w:rsidRDefault="0022427A" w:rsidP="00565F6C">
      <w:pPr>
        <w:numPr>
          <w:ilvl w:val="0"/>
          <w:numId w:val="9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853</w:t>
      </w:r>
      <w:r w:rsidR="00FE6810" w:rsidRPr="00D766E2">
        <w:rPr>
          <w:rFonts w:ascii="Arial" w:hAnsi="Arial" w:cs="Arial"/>
        </w:rPr>
        <w:t>F</w:t>
      </w:r>
      <w:r w:rsidRPr="00D766E2">
        <w:rPr>
          <w:rFonts w:ascii="Arial" w:hAnsi="Arial" w:cs="Arial"/>
        </w:rPr>
        <w:t xml:space="preserve">, Real Estate </w:t>
      </w:r>
      <w:r w:rsidR="004D1B74" w:rsidRPr="00D766E2">
        <w:rPr>
          <w:rFonts w:ascii="Arial" w:hAnsi="Arial" w:cs="Arial"/>
        </w:rPr>
        <w:t xml:space="preserve">Finance </w:t>
      </w:r>
      <w:r w:rsidR="004D1B74" w:rsidRPr="008C24C1">
        <w:rPr>
          <w:rFonts w:ascii="Arial" w:hAnsi="Arial" w:cs="Arial"/>
          <w:u w:val="single"/>
        </w:rPr>
        <w:t>or</w:t>
      </w:r>
      <w:r w:rsidR="004D1B74" w:rsidRPr="00D766E2">
        <w:rPr>
          <w:rFonts w:ascii="Arial" w:hAnsi="Arial" w:cs="Arial"/>
        </w:rPr>
        <w:t xml:space="preserve"> MBA 853 Real Estate and Capital Markets</w:t>
      </w:r>
    </w:p>
    <w:p w:rsidR="00565F6C" w:rsidRPr="00D766E2" w:rsidRDefault="00565F6C" w:rsidP="00565F6C">
      <w:pPr>
        <w:numPr>
          <w:ilvl w:val="0"/>
          <w:numId w:val="9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 xml:space="preserve">*MBA 793D, Alternative Investments </w:t>
      </w:r>
    </w:p>
    <w:p w:rsidR="00565F6C" w:rsidRPr="00D766E2" w:rsidRDefault="00565F6C" w:rsidP="00565F6C">
      <w:pPr>
        <w:numPr>
          <w:ilvl w:val="0"/>
          <w:numId w:val="9"/>
        </w:numPr>
        <w:tabs>
          <w:tab w:val="clear" w:pos="720"/>
        </w:tabs>
        <w:ind w:left="360" w:hanging="180"/>
        <w:rPr>
          <w:rFonts w:ascii="Arial" w:hAnsi="Arial" w:cs="Arial"/>
        </w:rPr>
      </w:pPr>
      <w:r w:rsidRPr="00D766E2">
        <w:rPr>
          <w:rFonts w:ascii="Arial" w:hAnsi="Arial" w:cs="Arial"/>
        </w:rPr>
        <w:t>MBA 786A, Quantitative Methods in Finance (recommended in first year)</w:t>
      </w:r>
    </w:p>
    <w:p w:rsidR="00565F6C" w:rsidRPr="00D766E2" w:rsidRDefault="00565F6C" w:rsidP="00565F6C">
      <w:pPr>
        <w:ind w:left="360"/>
        <w:rPr>
          <w:rFonts w:ascii="Arial" w:hAnsi="Arial" w:cs="Arial"/>
        </w:rPr>
      </w:pPr>
    </w:p>
    <w:p w:rsidR="0022427A" w:rsidRPr="00D766E2" w:rsidRDefault="0022427A" w:rsidP="0022427A">
      <w:pPr>
        <w:rPr>
          <w:rFonts w:ascii="Arial" w:hAnsi="Arial" w:cs="Arial"/>
          <w:sz w:val="14"/>
          <w:szCs w:val="14"/>
        </w:rPr>
      </w:pPr>
    </w:p>
    <w:p w:rsidR="0022427A" w:rsidRPr="00D766E2" w:rsidRDefault="0022427A" w:rsidP="0022427A">
      <w:pPr>
        <w:rPr>
          <w:rFonts w:ascii="Arial" w:hAnsi="Arial" w:cs="Arial"/>
        </w:rPr>
      </w:pPr>
      <w:r w:rsidRPr="00D766E2">
        <w:rPr>
          <w:rFonts w:ascii="Arial" w:hAnsi="Arial" w:cs="Arial"/>
          <w:b/>
        </w:rPr>
        <w:t>*</w:t>
      </w:r>
      <w:r w:rsidRPr="00D766E2">
        <w:rPr>
          <w:rFonts w:ascii="Arial" w:hAnsi="Arial" w:cs="Arial"/>
        </w:rPr>
        <w:t>this course has a pre-requisite</w:t>
      </w:r>
      <w:r w:rsidR="005204DD" w:rsidRPr="00D766E2">
        <w:rPr>
          <w:rFonts w:ascii="Arial" w:hAnsi="Arial" w:cs="Arial"/>
        </w:rPr>
        <w:t xml:space="preserve"> (see </w:t>
      </w:r>
      <w:r w:rsidR="00D766E2">
        <w:rPr>
          <w:rFonts w:ascii="Arial" w:hAnsi="Arial" w:cs="Arial"/>
        </w:rPr>
        <w:t>the Course Catalog on the MBA Intranet</w:t>
      </w:r>
      <w:r w:rsidR="005204DD" w:rsidRPr="00D766E2">
        <w:rPr>
          <w:rFonts w:ascii="Arial" w:hAnsi="Arial" w:cs="Arial"/>
        </w:rPr>
        <w:t xml:space="preserve"> for details)</w:t>
      </w:r>
    </w:p>
    <w:p w:rsidR="00B456DE" w:rsidRDefault="00B456DE" w:rsidP="00390ECC">
      <w:pPr>
        <w:pBdr>
          <w:bottom w:val="single" w:sz="4" w:space="1" w:color="auto"/>
        </w:pBdr>
        <w:spacing w:before="60"/>
        <w:rPr>
          <w:rFonts w:ascii="Arial" w:hAnsi="Arial" w:cs="Arial"/>
          <w:b/>
          <w:color w:val="FF0000"/>
        </w:rPr>
      </w:pPr>
    </w:p>
    <w:p w:rsidR="00D766E2" w:rsidRDefault="00D766E2" w:rsidP="00390ECC">
      <w:pPr>
        <w:pBdr>
          <w:bottom w:val="single" w:sz="4" w:space="1" w:color="auto"/>
        </w:pBdr>
        <w:spacing w:before="60"/>
        <w:rPr>
          <w:rFonts w:ascii="Arial" w:hAnsi="Arial" w:cs="Arial"/>
          <w:b/>
          <w:color w:val="FF0000"/>
        </w:rPr>
      </w:pPr>
    </w:p>
    <w:p w:rsidR="00D766E2" w:rsidRDefault="00D766E2" w:rsidP="00390ECC">
      <w:pPr>
        <w:pBdr>
          <w:bottom w:val="single" w:sz="4" w:space="1" w:color="auto"/>
        </w:pBdr>
        <w:spacing w:before="60"/>
        <w:rPr>
          <w:rFonts w:ascii="Arial" w:hAnsi="Arial" w:cs="Arial"/>
          <w:b/>
          <w:color w:val="FF0000"/>
        </w:rPr>
      </w:pPr>
    </w:p>
    <w:p w:rsidR="00D766E2" w:rsidRDefault="00D766E2" w:rsidP="00390ECC">
      <w:pPr>
        <w:pBdr>
          <w:bottom w:val="single" w:sz="4" w:space="1" w:color="auto"/>
        </w:pBdr>
        <w:spacing w:before="60"/>
        <w:rPr>
          <w:rFonts w:ascii="Arial" w:hAnsi="Arial" w:cs="Arial"/>
          <w:b/>
          <w:color w:val="FF0000"/>
        </w:rPr>
      </w:pPr>
    </w:p>
    <w:p w:rsidR="00D766E2" w:rsidRDefault="00D766E2" w:rsidP="00390ECC">
      <w:pPr>
        <w:pBdr>
          <w:bottom w:val="single" w:sz="4" w:space="1" w:color="auto"/>
        </w:pBdr>
        <w:spacing w:before="60"/>
        <w:rPr>
          <w:rFonts w:ascii="Arial" w:hAnsi="Arial" w:cs="Arial"/>
          <w:b/>
          <w:color w:val="FF0000"/>
        </w:rPr>
      </w:pPr>
    </w:p>
    <w:p w:rsidR="00D766E2" w:rsidRPr="00165AC6" w:rsidRDefault="00D766E2" w:rsidP="00390ECC">
      <w:pPr>
        <w:pBdr>
          <w:bottom w:val="single" w:sz="4" w:space="1" w:color="auto"/>
        </w:pBdr>
        <w:spacing w:before="60"/>
        <w:rPr>
          <w:rFonts w:ascii="Arial" w:hAnsi="Arial" w:cs="Arial"/>
          <w:b/>
          <w:color w:val="FF0000"/>
        </w:rPr>
      </w:pPr>
    </w:p>
    <w:p w:rsidR="00390ECC" w:rsidRPr="00D766E2" w:rsidRDefault="00390ECC" w:rsidP="00390ECC">
      <w:pPr>
        <w:pBdr>
          <w:bottom w:val="single" w:sz="4" w:space="1" w:color="auto"/>
        </w:pBdr>
        <w:spacing w:before="60"/>
        <w:rPr>
          <w:rFonts w:ascii="Arial" w:hAnsi="Arial" w:cs="Arial"/>
        </w:rPr>
      </w:pPr>
      <w:r w:rsidRPr="00D766E2">
        <w:rPr>
          <w:rFonts w:ascii="Arial" w:hAnsi="Arial" w:cs="Arial"/>
          <w:b/>
        </w:rPr>
        <w:t>Sample Concentration Sequence</w:t>
      </w:r>
    </w:p>
    <w:p w:rsidR="00390ECC" w:rsidRPr="00D766E2" w:rsidRDefault="00390ECC" w:rsidP="00390ECC">
      <w:pPr>
        <w:spacing w:before="60"/>
        <w:rPr>
          <w:rFonts w:ascii="Arial" w:hAnsi="Arial" w:cs="Arial"/>
          <w:b/>
          <w:sz w:val="14"/>
          <w:szCs w:val="14"/>
        </w:rPr>
      </w:pPr>
    </w:p>
    <w:p w:rsidR="00565F6C" w:rsidRPr="00D766E2" w:rsidRDefault="00565F6C" w:rsidP="00390ECC">
      <w:pPr>
        <w:spacing w:before="60"/>
        <w:rPr>
          <w:rFonts w:ascii="Arial" w:hAnsi="Arial" w:cs="Arial"/>
          <w:b/>
          <w:i/>
          <w:u w:val="single"/>
        </w:rPr>
      </w:pPr>
      <w:r w:rsidRPr="00D766E2">
        <w:rPr>
          <w:rFonts w:ascii="Arial" w:hAnsi="Arial" w:cs="Arial"/>
          <w:b/>
          <w:i/>
          <w:u w:val="single"/>
        </w:rPr>
        <w:t>Track I</w:t>
      </w:r>
    </w:p>
    <w:p w:rsidR="00565F6C" w:rsidRPr="00D766E2" w:rsidRDefault="00565F6C" w:rsidP="00390ECC">
      <w:pPr>
        <w:spacing w:before="60"/>
        <w:rPr>
          <w:rFonts w:ascii="Arial" w:hAnsi="Arial" w:cs="Arial"/>
          <w:b/>
          <w:sz w:val="14"/>
          <w:szCs w:val="14"/>
        </w:rPr>
      </w:pPr>
    </w:p>
    <w:tbl>
      <w:tblPr>
        <w:tblW w:w="507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2232"/>
        <w:gridCol w:w="2333"/>
        <w:gridCol w:w="2591"/>
        <w:gridCol w:w="44"/>
        <w:gridCol w:w="2534"/>
      </w:tblGrid>
      <w:tr w:rsidR="00D766E2" w:rsidRPr="00D766E2" w:rsidTr="00605577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22427A" w:rsidRPr="00D766E2" w:rsidRDefault="0022427A" w:rsidP="00605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Year One</w:t>
            </w:r>
          </w:p>
        </w:tc>
      </w:tr>
      <w:tr w:rsidR="00D766E2" w:rsidRPr="00D766E2" w:rsidTr="00605577">
        <w:tc>
          <w:tcPr>
            <w:tcW w:w="556" w:type="pct"/>
            <w:shd w:val="clear" w:color="auto" w:fill="202020"/>
          </w:tcPr>
          <w:p w:rsidR="0022427A" w:rsidRPr="00D766E2" w:rsidRDefault="0022427A" w:rsidP="0060557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202020"/>
          </w:tcPr>
          <w:p w:rsidR="0022427A" w:rsidRPr="00D766E2" w:rsidRDefault="0022427A" w:rsidP="0060557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</w:t>
            </w:r>
          </w:p>
        </w:tc>
        <w:tc>
          <w:tcPr>
            <w:tcW w:w="1065" w:type="pct"/>
            <w:shd w:val="clear" w:color="auto" w:fill="202020"/>
          </w:tcPr>
          <w:p w:rsidR="0022427A" w:rsidRPr="00D766E2" w:rsidRDefault="0022427A" w:rsidP="0060557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II</w:t>
            </w:r>
          </w:p>
        </w:tc>
        <w:tc>
          <w:tcPr>
            <w:tcW w:w="1203" w:type="pct"/>
            <w:gridSpan w:val="2"/>
            <w:shd w:val="clear" w:color="auto" w:fill="202020"/>
          </w:tcPr>
          <w:p w:rsidR="0022427A" w:rsidRPr="00D766E2" w:rsidRDefault="0022427A" w:rsidP="0060557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III</w:t>
            </w:r>
          </w:p>
        </w:tc>
        <w:tc>
          <w:tcPr>
            <w:tcW w:w="1157" w:type="pct"/>
            <w:shd w:val="clear" w:color="auto" w:fill="202020"/>
          </w:tcPr>
          <w:p w:rsidR="0022427A" w:rsidRPr="00D766E2" w:rsidRDefault="0022427A" w:rsidP="0060557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IV</w:t>
            </w:r>
          </w:p>
        </w:tc>
      </w:tr>
      <w:tr w:rsidR="00D766E2" w:rsidRPr="00D766E2" w:rsidTr="00D766E2">
        <w:trPr>
          <w:trHeight w:val="503"/>
        </w:trPr>
        <w:tc>
          <w:tcPr>
            <w:tcW w:w="556" w:type="pct"/>
            <w:shd w:val="clear" w:color="auto" w:fill="auto"/>
            <w:vAlign w:val="center"/>
          </w:tcPr>
          <w:p w:rsidR="00165AC6" w:rsidRPr="00D766E2" w:rsidRDefault="00165AC6" w:rsidP="00605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2084" w:type="pct"/>
            <w:gridSpan w:val="2"/>
            <w:shd w:val="clear" w:color="auto" w:fill="auto"/>
            <w:vAlign w:val="center"/>
          </w:tcPr>
          <w:p w:rsidR="00165AC6" w:rsidRPr="00D766E2" w:rsidRDefault="00165AC6" w:rsidP="00D766E2">
            <w:pPr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MBA Core Curriculum</w:t>
            </w:r>
          </w:p>
        </w:tc>
        <w:tc>
          <w:tcPr>
            <w:tcW w:w="2360" w:type="pct"/>
            <w:gridSpan w:val="3"/>
            <w:vAlign w:val="center"/>
          </w:tcPr>
          <w:p w:rsidR="00165AC6" w:rsidRPr="00D766E2" w:rsidRDefault="00165AC6" w:rsidP="00D766E2">
            <w:pPr>
              <w:ind w:lef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MBA Core Curriculum</w:t>
            </w:r>
          </w:p>
        </w:tc>
      </w:tr>
      <w:tr w:rsidR="00D766E2" w:rsidRPr="00D766E2" w:rsidTr="00165AC6">
        <w:tc>
          <w:tcPr>
            <w:tcW w:w="556" w:type="pct"/>
            <w:vMerge w:val="restart"/>
            <w:shd w:val="clear" w:color="auto" w:fill="auto"/>
            <w:vAlign w:val="center"/>
          </w:tcPr>
          <w:p w:rsidR="00165AC6" w:rsidRPr="00D766E2" w:rsidRDefault="00165AC6" w:rsidP="00565F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Electives</w:t>
            </w:r>
          </w:p>
        </w:tc>
        <w:tc>
          <w:tcPr>
            <w:tcW w:w="2084" w:type="pct"/>
            <w:gridSpan w:val="2"/>
            <w:vMerge w:val="restart"/>
            <w:shd w:val="clear" w:color="auto" w:fill="auto"/>
            <w:vAlign w:val="center"/>
          </w:tcPr>
          <w:p w:rsidR="00165AC6" w:rsidRPr="00D766E2" w:rsidRDefault="00165AC6" w:rsidP="00565F6C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360" w:type="pct"/>
            <w:gridSpan w:val="3"/>
            <w:tcBorders>
              <w:top w:val="single" w:sz="4" w:space="0" w:color="auto"/>
            </w:tcBorders>
          </w:tcPr>
          <w:p w:rsidR="00165AC6" w:rsidRPr="00D766E2" w:rsidRDefault="00165AC6" w:rsidP="00165AC6">
            <w:pPr>
              <w:ind w:lef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 xml:space="preserve">-Investments (Mod </w:t>
            </w:r>
            <w:r w:rsidR="00B965E4">
              <w:rPr>
                <w:rFonts w:ascii="Arial" w:hAnsi="Arial" w:cs="Arial"/>
                <w:sz w:val="18"/>
                <w:szCs w:val="18"/>
              </w:rPr>
              <w:t>III-</w:t>
            </w:r>
            <w:r w:rsidRPr="00D766E2">
              <w:rPr>
                <w:rFonts w:ascii="Arial" w:hAnsi="Arial" w:cs="Arial"/>
                <w:sz w:val="18"/>
                <w:szCs w:val="18"/>
              </w:rPr>
              <w:t>IV)</w:t>
            </w:r>
          </w:p>
          <w:p w:rsidR="00165AC6" w:rsidRPr="00D766E2" w:rsidRDefault="00165AC6" w:rsidP="00565F6C">
            <w:pPr>
              <w:ind w:left="52" w:hanging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6E2" w:rsidRPr="00D766E2" w:rsidTr="00605577">
        <w:tc>
          <w:tcPr>
            <w:tcW w:w="556" w:type="pct"/>
            <w:vMerge/>
            <w:shd w:val="clear" w:color="auto" w:fill="auto"/>
            <w:vAlign w:val="center"/>
          </w:tcPr>
          <w:p w:rsidR="00165AC6" w:rsidRPr="00D766E2" w:rsidRDefault="00165AC6" w:rsidP="00565F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4" w:type="pct"/>
            <w:gridSpan w:val="2"/>
            <w:vMerge/>
            <w:shd w:val="clear" w:color="auto" w:fill="auto"/>
            <w:vAlign w:val="center"/>
          </w:tcPr>
          <w:p w:rsidR="00165AC6" w:rsidRPr="00D766E2" w:rsidRDefault="00165AC6" w:rsidP="00565F6C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:rsidR="00165AC6" w:rsidRPr="00D766E2" w:rsidRDefault="00165AC6" w:rsidP="00565F6C">
            <w:pPr>
              <w:tabs>
                <w:tab w:val="left" w:pos="2140"/>
              </w:tabs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 Quantitative Methods in Finance</w:t>
            </w:r>
          </w:p>
          <w:p w:rsidR="00165AC6" w:rsidRPr="00D766E2" w:rsidRDefault="00165AC6" w:rsidP="00565F6C">
            <w:pPr>
              <w:tabs>
                <w:tab w:val="left" w:pos="2140"/>
              </w:tabs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Pr="00D766E2">
              <w:rPr>
                <w:rFonts w:ascii="Arial" w:hAnsi="Arial" w:cs="Arial"/>
              </w:rPr>
              <w:t xml:space="preserve"> </w:t>
            </w:r>
            <w:r w:rsidRPr="00D766E2">
              <w:rPr>
                <w:rFonts w:ascii="Arial" w:hAnsi="Arial" w:cs="Arial"/>
                <w:sz w:val="18"/>
                <w:szCs w:val="18"/>
              </w:rPr>
              <w:t>Fundamental Principles of Corporate Finance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165AC6" w:rsidRPr="00D766E2" w:rsidRDefault="00165AC6" w:rsidP="008C24C1">
            <w:pPr>
              <w:ind w:left="52" w:hanging="57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 xml:space="preserve">- Financial Statement Analysis </w:t>
            </w:r>
          </w:p>
        </w:tc>
      </w:tr>
    </w:tbl>
    <w:p w:rsidR="00B456DE" w:rsidRPr="00165AC6" w:rsidRDefault="00B456DE" w:rsidP="00B456DE">
      <w:pPr>
        <w:outlineLvl w:val="0"/>
        <w:rPr>
          <w:rFonts w:ascii="Arial" w:hAnsi="Arial" w:cs="Arial"/>
          <w:color w:val="FF0000"/>
          <w:sz w:val="18"/>
          <w:szCs w:val="18"/>
        </w:rPr>
      </w:pPr>
    </w:p>
    <w:tbl>
      <w:tblPr>
        <w:tblW w:w="507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199"/>
        <w:gridCol w:w="2383"/>
        <w:gridCol w:w="2637"/>
        <w:gridCol w:w="2536"/>
      </w:tblGrid>
      <w:tr w:rsidR="00D766E2" w:rsidRPr="00D766E2" w:rsidTr="00605577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22427A" w:rsidRPr="00D766E2" w:rsidRDefault="0022427A" w:rsidP="00605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Year Two</w:t>
            </w:r>
          </w:p>
        </w:tc>
      </w:tr>
      <w:tr w:rsidR="00D766E2" w:rsidRPr="00D766E2" w:rsidTr="00605577">
        <w:tc>
          <w:tcPr>
            <w:tcW w:w="546" w:type="pct"/>
            <w:shd w:val="clear" w:color="auto" w:fill="202020"/>
          </w:tcPr>
          <w:p w:rsidR="0022427A" w:rsidRPr="00D766E2" w:rsidRDefault="0022427A" w:rsidP="0060557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202020"/>
          </w:tcPr>
          <w:p w:rsidR="0022427A" w:rsidRPr="00D766E2" w:rsidRDefault="0022427A" w:rsidP="0060557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</w:t>
            </w:r>
          </w:p>
        </w:tc>
        <w:tc>
          <w:tcPr>
            <w:tcW w:w="1088" w:type="pct"/>
            <w:shd w:val="clear" w:color="auto" w:fill="202020"/>
          </w:tcPr>
          <w:p w:rsidR="0022427A" w:rsidRPr="00D766E2" w:rsidRDefault="0022427A" w:rsidP="0060557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II</w:t>
            </w:r>
          </w:p>
        </w:tc>
        <w:tc>
          <w:tcPr>
            <w:tcW w:w="1204" w:type="pct"/>
            <w:shd w:val="clear" w:color="auto" w:fill="202020"/>
          </w:tcPr>
          <w:p w:rsidR="0022427A" w:rsidRPr="00D766E2" w:rsidRDefault="0022427A" w:rsidP="0060557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III</w:t>
            </w:r>
          </w:p>
        </w:tc>
        <w:tc>
          <w:tcPr>
            <w:tcW w:w="1158" w:type="pct"/>
            <w:shd w:val="clear" w:color="auto" w:fill="202020"/>
          </w:tcPr>
          <w:p w:rsidR="0022427A" w:rsidRPr="00D766E2" w:rsidRDefault="0022427A" w:rsidP="0060557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IV</w:t>
            </w:r>
          </w:p>
        </w:tc>
      </w:tr>
      <w:tr w:rsidR="00D766E2" w:rsidRPr="00D766E2" w:rsidTr="00605577">
        <w:tc>
          <w:tcPr>
            <w:tcW w:w="546" w:type="pct"/>
            <w:vAlign w:val="center"/>
          </w:tcPr>
          <w:p w:rsidR="0022427A" w:rsidRPr="00D766E2" w:rsidRDefault="00165AC6" w:rsidP="00605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4454" w:type="pct"/>
            <w:gridSpan w:val="4"/>
          </w:tcPr>
          <w:p w:rsidR="0022427A" w:rsidRPr="00D766E2" w:rsidRDefault="0022427A" w:rsidP="00605577">
            <w:pPr>
              <w:ind w:left="73" w:hanging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-Applied</w:t>
            </w:r>
            <w:r w:rsidR="00D766E2">
              <w:rPr>
                <w:rFonts w:ascii="Arial" w:hAnsi="Arial" w:cs="Arial"/>
                <w:sz w:val="18"/>
                <w:szCs w:val="18"/>
              </w:rPr>
              <w:t xml:space="preserve"> Investment Management (Mod I-</w:t>
            </w:r>
            <w:r w:rsidRPr="00D766E2">
              <w:rPr>
                <w:rFonts w:ascii="Arial" w:hAnsi="Arial" w:cs="Arial"/>
                <w:sz w:val="18"/>
                <w:szCs w:val="18"/>
              </w:rPr>
              <w:t>IV)</w:t>
            </w:r>
          </w:p>
        </w:tc>
      </w:tr>
      <w:tr w:rsidR="00D766E2" w:rsidRPr="00D766E2" w:rsidTr="00605577">
        <w:tc>
          <w:tcPr>
            <w:tcW w:w="546" w:type="pct"/>
            <w:vAlign w:val="center"/>
          </w:tcPr>
          <w:p w:rsidR="0022427A" w:rsidRPr="00D766E2" w:rsidRDefault="00165AC6" w:rsidP="00605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Electives</w:t>
            </w:r>
          </w:p>
        </w:tc>
        <w:tc>
          <w:tcPr>
            <w:tcW w:w="1004" w:type="pct"/>
          </w:tcPr>
          <w:p w:rsidR="0022427A" w:rsidRPr="00D766E2" w:rsidRDefault="0022427A" w:rsidP="00605577">
            <w:pPr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="0015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43C" w:rsidRPr="00D766E2">
              <w:rPr>
                <w:rFonts w:ascii="Arial" w:hAnsi="Arial" w:cs="Arial"/>
                <w:sz w:val="18"/>
                <w:szCs w:val="18"/>
              </w:rPr>
              <w:t>Derivatives</w:t>
            </w:r>
          </w:p>
          <w:p w:rsidR="0022427A" w:rsidRPr="00D766E2" w:rsidRDefault="0022427A" w:rsidP="00605577">
            <w:pPr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="0015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6E2">
              <w:rPr>
                <w:rFonts w:ascii="Arial" w:hAnsi="Arial" w:cs="Arial"/>
                <w:sz w:val="18"/>
                <w:szCs w:val="18"/>
              </w:rPr>
              <w:t>Fixed Income</w:t>
            </w:r>
          </w:p>
        </w:tc>
        <w:tc>
          <w:tcPr>
            <w:tcW w:w="1088" w:type="pct"/>
          </w:tcPr>
          <w:p w:rsidR="0022427A" w:rsidRPr="00D766E2" w:rsidRDefault="004D1B74" w:rsidP="00BC39C6">
            <w:pPr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="0015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6E2">
              <w:rPr>
                <w:rFonts w:ascii="Arial" w:hAnsi="Arial" w:cs="Arial"/>
                <w:sz w:val="18"/>
                <w:szCs w:val="18"/>
              </w:rPr>
              <w:t xml:space="preserve">Global </w:t>
            </w:r>
            <w:r w:rsidR="008C24C1">
              <w:rPr>
                <w:rFonts w:ascii="Arial" w:hAnsi="Arial" w:cs="Arial"/>
                <w:sz w:val="18"/>
                <w:szCs w:val="18"/>
              </w:rPr>
              <w:t xml:space="preserve">Finance </w:t>
            </w:r>
            <w:r w:rsidR="00BC39C6">
              <w:rPr>
                <w:rFonts w:ascii="Arial" w:hAnsi="Arial" w:cs="Arial"/>
                <w:sz w:val="18"/>
                <w:szCs w:val="18"/>
              </w:rPr>
              <w:t>&amp;</w:t>
            </w:r>
            <w:r w:rsidR="008C24C1">
              <w:rPr>
                <w:rFonts w:ascii="Arial" w:hAnsi="Arial" w:cs="Arial"/>
                <w:sz w:val="18"/>
                <w:szCs w:val="18"/>
              </w:rPr>
              <w:t xml:space="preserve"> Emerging</w:t>
            </w:r>
            <w:r w:rsidRPr="00D766E2">
              <w:rPr>
                <w:rFonts w:ascii="Arial" w:hAnsi="Arial" w:cs="Arial"/>
                <w:sz w:val="18"/>
                <w:szCs w:val="18"/>
              </w:rPr>
              <w:t xml:space="preserve"> Markets</w:t>
            </w:r>
          </w:p>
        </w:tc>
        <w:tc>
          <w:tcPr>
            <w:tcW w:w="1204" w:type="pct"/>
          </w:tcPr>
          <w:p w:rsidR="008C774D" w:rsidRPr="00D766E2" w:rsidRDefault="008C774D" w:rsidP="008C774D">
            <w:pPr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="0015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6E2">
              <w:rPr>
                <w:rFonts w:ascii="Arial" w:hAnsi="Arial" w:cs="Arial"/>
                <w:sz w:val="18"/>
                <w:szCs w:val="18"/>
              </w:rPr>
              <w:t>Alternative Investments</w:t>
            </w:r>
          </w:p>
          <w:p w:rsidR="0022427A" w:rsidRPr="00D766E2" w:rsidRDefault="0022427A" w:rsidP="008C774D">
            <w:pPr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="0015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C9B" w:rsidRPr="00D766E2">
              <w:rPr>
                <w:rFonts w:ascii="Arial" w:hAnsi="Arial" w:cs="Arial"/>
                <w:sz w:val="18"/>
                <w:szCs w:val="18"/>
              </w:rPr>
              <w:t xml:space="preserve">Financial </w:t>
            </w:r>
            <w:r w:rsidRPr="00D766E2">
              <w:rPr>
                <w:rFonts w:ascii="Arial" w:hAnsi="Arial" w:cs="Arial"/>
                <w:sz w:val="18"/>
                <w:szCs w:val="18"/>
              </w:rPr>
              <w:t>Risk Management</w:t>
            </w:r>
          </w:p>
        </w:tc>
        <w:tc>
          <w:tcPr>
            <w:tcW w:w="1158" w:type="pct"/>
          </w:tcPr>
          <w:p w:rsidR="0022427A" w:rsidRPr="00D766E2" w:rsidRDefault="004D1B74" w:rsidP="00605577">
            <w:pPr>
              <w:ind w:left="73" w:hanging="78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</w:rPr>
              <w:t>-</w:t>
            </w:r>
            <w:r w:rsidR="00150563">
              <w:rPr>
                <w:rFonts w:ascii="Arial" w:hAnsi="Arial" w:cs="Arial"/>
                <w:sz w:val="18"/>
              </w:rPr>
              <w:t xml:space="preserve"> </w:t>
            </w:r>
            <w:r w:rsidRPr="00D766E2">
              <w:rPr>
                <w:rFonts w:ascii="Arial" w:hAnsi="Arial" w:cs="Arial"/>
                <w:sz w:val="18"/>
              </w:rPr>
              <w:t>Private Wealth Management</w:t>
            </w:r>
          </w:p>
        </w:tc>
      </w:tr>
    </w:tbl>
    <w:p w:rsidR="0022427A" w:rsidRPr="00165AC6" w:rsidRDefault="0022427A" w:rsidP="00B456DE">
      <w:pPr>
        <w:outlineLvl w:val="0"/>
        <w:rPr>
          <w:rFonts w:ascii="Arial" w:hAnsi="Arial" w:cs="Arial"/>
          <w:color w:val="FF0000"/>
          <w:sz w:val="18"/>
          <w:szCs w:val="18"/>
        </w:rPr>
      </w:pPr>
    </w:p>
    <w:p w:rsidR="00165AC6" w:rsidRPr="00165AC6" w:rsidRDefault="00165AC6" w:rsidP="00B456DE">
      <w:pPr>
        <w:outlineLvl w:val="0"/>
        <w:rPr>
          <w:rFonts w:ascii="Arial" w:hAnsi="Arial" w:cs="Arial"/>
          <w:color w:val="FF0000"/>
          <w:sz w:val="18"/>
          <w:szCs w:val="18"/>
        </w:rPr>
      </w:pPr>
    </w:p>
    <w:p w:rsidR="00565F6C" w:rsidRPr="00D766E2" w:rsidRDefault="00565F6C" w:rsidP="00B456DE">
      <w:pPr>
        <w:outlineLvl w:val="0"/>
        <w:rPr>
          <w:rFonts w:ascii="Arial" w:hAnsi="Arial" w:cs="Arial"/>
          <w:sz w:val="18"/>
          <w:szCs w:val="18"/>
        </w:rPr>
      </w:pPr>
      <w:r w:rsidRPr="00D766E2">
        <w:rPr>
          <w:rFonts w:ascii="Arial" w:hAnsi="Arial" w:cs="Arial"/>
          <w:b/>
          <w:i/>
          <w:u w:val="single"/>
        </w:rPr>
        <w:t>Track II</w:t>
      </w:r>
    </w:p>
    <w:p w:rsidR="00B456DE" w:rsidRPr="00165AC6" w:rsidRDefault="00B456DE" w:rsidP="00B456DE">
      <w:pPr>
        <w:outlineLvl w:val="0"/>
        <w:rPr>
          <w:rFonts w:ascii="Arial" w:hAnsi="Arial" w:cs="Arial"/>
          <w:color w:val="FF0000"/>
          <w:sz w:val="18"/>
          <w:szCs w:val="18"/>
        </w:rPr>
      </w:pPr>
    </w:p>
    <w:tbl>
      <w:tblPr>
        <w:tblW w:w="507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2232"/>
        <w:gridCol w:w="2333"/>
        <w:gridCol w:w="2591"/>
        <w:gridCol w:w="44"/>
        <w:gridCol w:w="2534"/>
      </w:tblGrid>
      <w:tr w:rsidR="00D766E2" w:rsidRPr="00D766E2" w:rsidTr="0072552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565F6C" w:rsidRPr="00D766E2" w:rsidRDefault="00565F6C" w:rsidP="00725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Year One</w:t>
            </w:r>
          </w:p>
        </w:tc>
      </w:tr>
      <w:tr w:rsidR="00D766E2" w:rsidRPr="00D766E2" w:rsidTr="00725529">
        <w:tc>
          <w:tcPr>
            <w:tcW w:w="556" w:type="pct"/>
            <w:shd w:val="clear" w:color="auto" w:fill="202020"/>
          </w:tcPr>
          <w:p w:rsidR="00565F6C" w:rsidRPr="00D766E2" w:rsidRDefault="00565F6C" w:rsidP="0072552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202020"/>
          </w:tcPr>
          <w:p w:rsidR="00565F6C" w:rsidRPr="00D766E2" w:rsidRDefault="00565F6C" w:rsidP="007255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</w:t>
            </w:r>
          </w:p>
        </w:tc>
        <w:tc>
          <w:tcPr>
            <w:tcW w:w="1065" w:type="pct"/>
            <w:shd w:val="clear" w:color="auto" w:fill="202020"/>
          </w:tcPr>
          <w:p w:rsidR="00565F6C" w:rsidRPr="00D766E2" w:rsidRDefault="00565F6C" w:rsidP="007255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II</w:t>
            </w:r>
          </w:p>
        </w:tc>
        <w:tc>
          <w:tcPr>
            <w:tcW w:w="1203" w:type="pct"/>
            <w:gridSpan w:val="2"/>
            <w:shd w:val="clear" w:color="auto" w:fill="202020"/>
          </w:tcPr>
          <w:p w:rsidR="00565F6C" w:rsidRPr="00D766E2" w:rsidRDefault="00565F6C" w:rsidP="007255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III</w:t>
            </w:r>
          </w:p>
        </w:tc>
        <w:tc>
          <w:tcPr>
            <w:tcW w:w="1157" w:type="pct"/>
            <w:shd w:val="clear" w:color="auto" w:fill="202020"/>
          </w:tcPr>
          <w:p w:rsidR="00565F6C" w:rsidRPr="00D766E2" w:rsidRDefault="00565F6C" w:rsidP="007255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IV</w:t>
            </w:r>
          </w:p>
        </w:tc>
      </w:tr>
      <w:tr w:rsidR="00D766E2" w:rsidRPr="00D766E2" w:rsidTr="00725529">
        <w:trPr>
          <w:trHeight w:val="210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565F6C" w:rsidRPr="00D766E2" w:rsidRDefault="00565F6C" w:rsidP="00725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2084" w:type="pct"/>
            <w:gridSpan w:val="2"/>
            <w:vMerge w:val="restart"/>
            <w:shd w:val="clear" w:color="auto" w:fill="auto"/>
            <w:vAlign w:val="center"/>
          </w:tcPr>
          <w:p w:rsidR="00565F6C" w:rsidRPr="00D766E2" w:rsidRDefault="00565F6C" w:rsidP="00725529">
            <w:pPr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MBA Core Curriculum</w:t>
            </w:r>
          </w:p>
        </w:tc>
        <w:tc>
          <w:tcPr>
            <w:tcW w:w="2360" w:type="pct"/>
            <w:gridSpan w:val="3"/>
            <w:vAlign w:val="center"/>
          </w:tcPr>
          <w:p w:rsidR="00565F6C" w:rsidRPr="00D766E2" w:rsidRDefault="00565F6C" w:rsidP="00725529">
            <w:pPr>
              <w:ind w:lef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 xml:space="preserve">MBA Core Curriculum </w:t>
            </w:r>
          </w:p>
          <w:p w:rsidR="00565F6C" w:rsidRPr="00D766E2" w:rsidRDefault="00565F6C" w:rsidP="00725529">
            <w:pPr>
              <w:ind w:left="-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AC6" w:rsidRPr="00165AC6" w:rsidTr="00725529">
        <w:trPr>
          <w:trHeight w:val="503"/>
        </w:trPr>
        <w:tc>
          <w:tcPr>
            <w:tcW w:w="556" w:type="pct"/>
            <w:vMerge/>
            <w:shd w:val="clear" w:color="auto" w:fill="auto"/>
            <w:vAlign w:val="center"/>
          </w:tcPr>
          <w:p w:rsidR="00565F6C" w:rsidRPr="00165AC6" w:rsidRDefault="00565F6C" w:rsidP="007255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84" w:type="pct"/>
            <w:gridSpan w:val="2"/>
            <w:vMerge/>
            <w:shd w:val="clear" w:color="auto" w:fill="auto"/>
            <w:vAlign w:val="center"/>
          </w:tcPr>
          <w:p w:rsidR="00565F6C" w:rsidRPr="00165AC6" w:rsidRDefault="00565F6C" w:rsidP="00725529">
            <w:pPr>
              <w:ind w:left="-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60" w:type="pct"/>
            <w:gridSpan w:val="3"/>
            <w:vAlign w:val="center"/>
          </w:tcPr>
          <w:p w:rsidR="00565F6C" w:rsidRPr="00150563" w:rsidRDefault="00D766E2" w:rsidP="00150563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563">
              <w:rPr>
                <w:rFonts w:ascii="Arial" w:hAnsi="Arial" w:cs="Arial"/>
                <w:sz w:val="18"/>
                <w:szCs w:val="18"/>
              </w:rPr>
              <w:t>Investments (Mod III-</w:t>
            </w:r>
            <w:r w:rsidR="00565F6C" w:rsidRPr="00150563">
              <w:rPr>
                <w:rFonts w:ascii="Arial" w:hAnsi="Arial" w:cs="Arial"/>
                <w:sz w:val="18"/>
                <w:szCs w:val="18"/>
              </w:rPr>
              <w:t>IV)</w:t>
            </w:r>
          </w:p>
          <w:p w:rsidR="00565F6C" w:rsidRPr="00165AC6" w:rsidRDefault="00565F6C" w:rsidP="00725529">
            <w:pPr>
              <w:ind w:left="-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766E2" w:rsidRPr="00D766E2" w:rsidTr="00725529">
        <w:tc>
          <w:tcPr>
            <w:tcW w:w="556" w:type="pct"/>
            <w:shd w:val="clear" w:color="auto" w:fill="auto"/>
            <w:vAlign w:val="center"/>
          </w:tcPr>
          <w:p w:rsidR="00565F6C" w:rsidRPr="00D766E2" w:rsidRDefault="00565F6C" w:rsidP="00725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Electives</w:t>
            </w:r>
          </w:p>
        </w:tc>
        <w:tc>
          <w:tcPr>
            <w:tcW w:w="2084" w:type="pct"/>
            <w:gridSpan w:val="2"/>
            <w:shd w:val="clear" w:color="auto" w:fill="auto"/>
            <w:vAlign w:val="center"/>
          </w:tcPr>
          <w:p w:rsidR="00565F6C" w:rsidRPr="00D766E2" w:rsidRDefault="00565F6C" w:rsidP="00725529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83" w:type="pct"/>
            <w:tcBorders>
              <w:top w:val="single" w:sz="4" w:space="0" w:color="auto"/>
            </w:tcBorders>
          </w:tcPr>
          <w:p w:rsidR="00165AC6" w:rsidRPr="00D766E2" w:rsidRDefault="00165AC6" w:rsidP="00165AC6">
            <w:pPr>
              <w:tabs>
                <w:tab w:val="left" w:pos="2140"/>
              </w:tabs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 Quantitative Methods in Finance</w:t>
            </w:r>
          </w:p>
          <w:p w:rsidR="00565F6C" w:rsidRPr="00D766E2" w:rsidRDefault="00165AC6" w:rsidP="00165AC6">
            <w:pPr>
              <w:tabs>
                <w:tab w:val="left" w:pos="2140"/>
              </w:tabs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Pr="00D766E2">
              <w:rPr>
                <w:rFonts w:ascii="Arial" w:hAnsi="Arial" w:cs="Arial"/>
              </w:rPr>
              <w:t xml:space="preserve"> </w:t>
            </w:r>
            <w:r w:rsidRPr="00D766E2">
              <w:rPr>
                <w:rFonts w:ascii="Arial" w:hAnsi="Arial" w:cs="Arial"/>
                <w:sz w:val="18"/>
                <w:szCs w:val="18"/>
              </w:rPr>
              <w:t>Fundamental Principles of Corporate Finance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</w:tcBorders>
          </w:tcPr>
          <w:p w:rsidR="00565F6C" w:rsidRPr="00D766E2" w:rsidRDefault="00565F6C" w:rsidP="008C24C1">
            <w:pPr>
              <w:ind w:left="52" w:hanging="57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 xml:space="preserve">- Financial Statement Analysis </w:t>
            </w:r>
          </w:p>
        </w:tc>
      </w:tr>
    </w:tbl>
    <w:p w:rsidR="000B4CBB" w:rsidRPr="00165AC6" w:rsidRDefault="000B4CBB" w:rsidP="00090FF9">
      <w:pPr>
        <w:rPr>
          <w:color w:val="FF0000"/>
        </w:rPr>
      </w:pPr>
    </w:p>
    <w:tbl>
      <w:tblPr>
        <w:tblW w:w="507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199"/>
        <w:gridCol w:w="2383"/>
        <w:gridCol w:w="2637"/>
        <w:gridCol w:w="2536"/>
      </w:tblGrid>
      <w:tr w:rsidR="00D766E2" w:rsidRPr="00D766E2" w:rsidTr="0072552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165AC6" w:rsidRPr="00D766E2" w:rsidRDefault="00165AC6" w:rsidP="00725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Year Two</w:t>
            </w:r>
          </w:p>
        </w:tc>
      </w:tr>
      <w:tr w:rsidR="00D766E2" w:rsidRPr="00D766E2" w:rsidTr="00725529">
        <w:tc>
          <w:tcPr>
            <w:tcW w:w="546" w:type="pct"/>
            <w:shd w:val="clear" w:color="auto" w:fill="202020"/>
          </w:tcPr>
          <w:p w:rsidR="00165AC6" w:rsidRPr="00D766E2" w:rsidRDefault="00165AC6" w:rsidP="0072552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202020"/>
          </w:tcPr>
          <w:p w:rsidR="00165AC6" w:rsidRPr="00D766E2" w:rsidRDefault="00165AC6" w:rsidP="007255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</w:t>
            </w:r>
          </w:p>
        </w:tc>
        <w:tc>
          <w:tcPr>
            <w:tcW w:w="1088" w:type="pct"/>
            <w:shd w:val="clear" w:color="auto" w:fill="202020"/>
          </w:tcPr>
          <w:p w:rsidR="00165AC6" w:rsidRPr="00D766E2" w:rsidRDefault="00165AC6" w:rsidP="007255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II</w:t>
            </w:r>
          </w:p>
        </w:tc>
        <w:tc>
          <w:tcPr>
            <w:tcW w:w="1204" w:type="pct"/>
            <w:shd w:val="clear" w:color="auto" w:fill="202020"/>
          </w:tcPr>
          <w:p w:rsidR="00165AC6" w:rsidRPr="00D766E2" w:rsidRDefault="00165AC6" w:rsidP="007255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III</w:t>
            </w:r>
          </w:p>
        </w:tc>
        <w:tc>
          <w:tcPr>
            <w:tcW w:w="1158" w:type="pct"/>
            <w:shd w:val="clear" w:color="auto" w:fill="202020"/>
          </w:tcPr>
          <w:p w:rsidR="00165AC6" w:rsidRPr="00D766E2" w:rsidRDefault="00165AC6" w:rsidP="007255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Module IV</w:t>
            </w:r>
          </w:p>
        </w:tc>
      </w:tr>
      <w:tr w:rsidR="00D766E2" w:rsidRPr="00D766E2" w:rsidTr="00725529">
        <w:tc>
          <w:tcPr>
            <w:tcW w:w="546" w:type="pct"/>
            <w:vMerge w:val="restart"/>
            <w:vAlign w:val="center"/>
          </w:tcPr>
          <w:p w:rsidR="00165AC6" w:rsidRPr="00D766E2" w:rsidRDefault="00165AC6" w:rsidP="00725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6E2">
              <w:rPr>
                <w:rFonts w:ascii="Arial" w:hAnsi="Arial" w:cs="Arial"/>
                <w:b/>
                <w:sz w:val="18"/>
                <w:szCs w:val="18"/>
              </w:rPr>
              <w:t>Required &amp; Electives</w:t>
            </w:r>
          </w:p>
        </w:tc>
        <w:tc>
          <w:tcPr>
            <w:tcW w:w="4454" w:type="pct"/>
            <w:gridSpan w:val="4"/>
          </w:tcPr>
          <w:p w:rsidR="00165AC6" w:rsidRPr="00D766E2" w:rsidRDefault="00165AC6" w:rsidP="00D766E2">
            <w:pPr>
              <w:ind w:left="73" w:hanging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 xml:space="preserve">-Applied </w:t>
            </w:r>
            <w:r w:rsidR="00D766E2" w:rsidRPr="00D766E2">
              <w:rPr>
                <w:rFonts w:ascii="Arial" w:hAnsi="Arial" w:cs="Arial"/>
                <w:sz w:val="18"/>
                <w:szCs w:val="18"/>
              </w:rPr>
              <w:t>Investment Management (Mod I-</w:t>
            </w:r>
            <w:r w:rsidRPr="00D766E2">
              <w:rPr>
                <w:rFonts w:ascii="Arial" w:hAnsi="Arial" w:cs="Arial"/>
                <w:sz w:val="18"/>
                <w:szCs w:val="18"/>
              </w:rPr>
              <w:t>IV)</w:t>
            </w:r>
          </w:p>
        </w:tc>
      </w:tr>
      <w:tr w:rsidR="00D766E2" w:rsidRPr="00D766E2" w:rsidTr="00725529">
        <w:tc>
          <w:tcPr>
            <w:tcW w:w="546" w:type="pct"/>
            <w:vMerge/>
            <w:vAlign w:val="center"/>
          </w:tcPr>
          <w:p w:rsidR="00165AC6" w:rsidRPr="00D766E2" w:rsidRDefault="00165AC6" w:rsidP="007255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pct"/>
          </w:tcPr>
          <w:p w:rsidR="00165AC6" w:rsidRPr="00D766E2" w:rsidRDefault="00D766E2" w:rsidP="00725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5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5AC6" w:rsidRPr="00D766E2">
              <w:rPr>
                <w:rFonts w:ascii="Arial" w:hAnsi="Arial" w:cs="Arial"/>
                <w:sz w:val="18"/>
                <w:szCs w:val="18"/>
              </w:rPr>
              <w:t>Derivatives</w:t>
            </w:r>
          </w:p>
          <w:p w:rsidR="00165AC6" w:rsidRPr="00D766E2" w:rsidRDefault="00165AC6" w:rsidP="00725529">
            <w:pPr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="0015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6E2">
              <w:rPr>
                <w:rFonts w:ascii="Arial" w:hAnsi="Arial" w:cs="Arial"/>
                <w:sz w:val="18"/>
                <w:szCs w:val="18"/>
              </w:rPr>
              <w:t>Fixed Income</w:t>
            </w:r>
          </w:p>
        </w:tc>
        <w:tc>
          <w:tcPr>
            <w:tcW w:w="1088" w:type="pct"/>
          </w:tcPr>
          <w:p w:rsidR="00165AC6" w:rsidRPr="00D766E2" w:rsidRDefault="00165AC6" w:rsidP="00BC39C6">
            <w:pPr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="0015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6E2">
              <w:rPr>
                <w:rFonts w:ascii="Arial" w:hAnsi="Arial" w:cs="Arial"/>
                <w:sz w:val="18"/>
                <w:szCs w:val="18"/>
              </w:rPr>
              <w:t xml:space="preserve">Global </w:t>
            </w:r>
            <w:r w:rsidR="008C24C1">
              <w:rPr>
                <w:rFonts w:ascii="Arial" w:hAnsi="Arial" w:cs="Arial"/>
                <w:sz w:val="18"/>
                <w:szCs w:val="18"/>
              </w:rPr>
              <w:t xml:space="preserve">Finance </w:t>
            </w:r>
            <w:r w:rsidR="00BC39C6">
              <w:rPr>
                <w:rFonts w:ascii="Arial" w:hAnsi="Arial" w:cs="Arial"/>
                <w:sz w:val="18"/>
                <w:szCs w:val="18"/>
              </w:rPr>
              <w:t>&amp;</w:t>
            </w:r>
            <w:r w:rsidR="008C24C1">
              <w:rPr>
                <w:rFonts w:ascii="Arial" w:hAnsi="Arial" w:cs="Arial"/>
                <w:sz w:val="18"/>
                <w:szCs w:val="18"/>
              </w:rPr>
              <w:t xml:space="preserve"> Emerging</w:t>
            </w:r>
            <w:r w:rsidRPr="00D766E2">
              <w:rPr>
                <w:rFonts w:ascii="Arial" w:hAnsi="Arial" w:cs="Arial"/>
                <w:sz w:val="18"/>
                <w:szCs w:val="18"/>
              </w:rPr>
              <w:t xml:space="preserve"> Markets</w:t>
            </w:r>
          </w:p>
        </w:tc>
        <w:tc>
          <w:tcPr>
            <w:tcW w:w="1204" w:type="pct"/>
          </w:tcPr>
          <w:p w:rsidR="00165AC6" w:rsidRPr="00D766E2" w:rsidRDefault="00165AC6" w:rsidP="00725529">
            <w:pPr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="0015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6E2">
              <w:rPr>
                <w:rFonts w:ascii="Arial" w:hAnsi="Arial" w:cs="Arial"/>
                <w:sz w:val="18"/>
                <w:szCs w:val="18"/>
              </w:rPr>
              <w:t>Alternative Investments</w:t>
            </w:r>
          </w:p>
          <w:p w:rsidR="00165AC6" w:rsidRPr="00D766E2" w:rsidRDefault="00165AC6" w:rsidP="00725529">
            <w:pPr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  <w:szCs w:val="18"/>
              </w:rPr>
              <w:t>-</w:t>
            </w:r>
            <w:r w:rsidR="0015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6E2">
              <w:rPr>
                <w:rFonts w:ascii="Arial" w:hAnsi="Arial" w:cs="Arial"/>
                <w:sz w:val="18"/>
                <w:szCs w:val="18"/>
              </w:rPr>
              <w:t>Financial Risk Management</w:t>
            </w:r>
          </w:p>
        </w:tc>
        <w:tc>
          <w:tcPr>
            <w:tcW w:w="1158" w:type="pct"/>
          </w:tcPr>
          <w:p w:rsidR="00165AC6" w:rsidRPr="00D766E2" w:rsidRDefault="00165AC6" w:rsidP="00725529">
            <w:pPr>
              <w:ind w:left="73" w:hanging="78"/>
              <w:rPr>
                <w:rFonts w:ascii="Arial" w:hAnsi="Arial" w:cs="Arial"/>
                <w:sz w:val="18"/>
                <w:szCs w:val="18"/>
              </w:rPr>
            </w:pPr>
            <w:r w:rsidRPr="00D766E2">
              <w:rPr>
                <w:rFonts w:ascii="Arial" w:hAnsi="Arial" w:cs="Arial"/>
                <w:sz w:val="18"/>
              </w:rPr>
              <w:t>-</w:t>
            </w:r>
            <w:r w:rsidR="00150563">
              <w:rPr>
                <w:rFonts w:ascii="Arial" w:hAnsi="Arial" w:cs="Arial"/>
                <w:sz w:val="18"/>
              </w:rPr>
              <w:t xml:space="preserve"> </w:t>
            </w:r>
            <w:r w:rsidRPr="00D766E2">
              <w:rPr>
                <w:rFonts w:ascii="Arial" w:hAnsi="Arial" w:cs="Arial"/>
                <w:sz w:val="18"/>
              </w:rPr>
              <w:t>Private Wealth Management</w:t>
            </w:r>
          </w:p>
        </w:tc>
      </w:tr>
    </w:tbl>
    <w:p w:rsidR="00165AC6" w:rsidRPr="00D766E2" w:rsidRDefault="00165AC6" w:rsidP="00090FF9"/>
    <w:sectPr w:rsidR="00165AC6" w:rsidRPr="00D766E2" w:rsidSect="00954FD2"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288" w:footer="288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C2" w:rsidRDefault="003811C2">
      <w:r>
        <w:separator/>
      </w:r>
    </w:p>
  </w:endnote>
  <w:endnote w:type="continuationSeparator" w:id="0">
    <w:p w:rsidR="003811C2" w:rsidRDefault="0038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18" w:rsidRDefault="00624718" w:rsidP="005E3D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718" w:rsidRDefault="00624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4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FD2" w:rsidRDefault="00954FD2">
        <w:pPr>
          <w:pStyle w:val="Footer"/>
          <w:jc w:val="center"/>
        </w:pPr>
        <w:r w:rsidRPr="00954FD2">
          <w:rPr>
            <w:rFonts w:ascii="Arial" w:hAnsi="Arial" w:cs="Arial"/>
          </w:rPr>
          <w:fldChar w:fldCharType="begin"/>
        </w:r>
        <w:r w:rsidRPr="00954FD2">
          <w:rPr>
            <w:rFonts w:ascii="Arial" w:hAnsi="Arial" w:cs="Arial"/>
          </w:rPr>
          <w:instrText xml:space="preserve"> PAGE   \* MERGEFORMAT </w:instrText>
        </w:r>
        <w:r w:rsidRPr="00954FD2">
          <w:rPr>
            <w:rFonts w:ascii="Arial" w:hAnsi="Arial" w:cs="Arial"/>
          </w:rPr>
          <w:fldChar w:fldCharType="separate"/>
        </w:r>
        <w:r w:rsidR="007A4C7B">
          <w:rPr>
            <w:rFonts w:ascii="Arial" w:hAnsi="Arial" w:cs="Arial"/>
            <w:noProof/>
          </w:rPr>
          <w:t>4</w:t>
        </w:r>
        <w:r w:rsidRPr="00954FD2">
          <w:rPr>
            <w:rFonts w:ascii="Arial" w:hAnsi="Arial" w:cs="Arial"/>
            <w:noProof/>
          </w:rPr>
          <w:fldChar w:fldCharType="end"/>
        </w:r>
      </w:p>
    </w:sdtContent>
  </w:sdt>
  <w:p w:rsidR="00624718" w:rsidRPr="003A26F8" w:rsidRDefault="00954FD2" w:rsidP="00DA1D24">
    <w:pPr>
      <w:pStyle w:val="Foo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"M/d/yyyy" </w:instrText>
    </w:r>
    <w:r>
      <w:rPr>
        <w:rFonts w:ascii="Arial" w:hAnsi="Arial" w:cs="Arial"/>
      </w:rPr>
      <w:fldChar w:fldCharType="separate"/>
    </w:r>
    <w:r w:rsidR="007A4C7B">
      <w:rPr>
        <w:rFonts w:ascii="Arial" w:hAnsi="Arial" w:cs="Arial"/>
        <w:noProof/>
      </w:rPr>
      <w:t>10/4/2018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C2" w:rsidRDefault="003811C2">
      <w:r>
        <w:separator/>
      </w:r>
    </w:p>
  </w:footnote>
  <w:footnote w:type="continuationSeparator" w:id="0">
    <w:p w:rsidR="003811C2" w:rsidRDefault="003811C2">
      <w:r>
        <w:continuationSeparator/>
      </w:r>
    </w:p>
  </w:footnote>
  <w:footnote w:id="1">
    <w:p w:rsidR="00565F6C" w:rsidRDefault="00565F6C" w:rsidP="00565F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example, students who have passed the CFA Level III exam may place out of the Fixed Income course and take the Risk Management course in its place.   </w:t>
      </w:r>
      <w:r w:rsidRPr="003A26F8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18" w:rsidRPr="003A26F8" w:rsidRDefault="00624718" w:rsidP="00831E31">
    <w:pPr>
      <w:spacing w:before="100" w:beforeAutospacing="1" w:after="240"/>
      <w:rPr>
        <w:rFonts w:ascii="Arial" w:hAnsi="Arial" w:cs="Arial"/>
        <w:b/>
        <w:color w:val="333333"/>
        <w:sz w:val="28"/>
        <w:szCs w:val="28"/>
      </w:rPr>
    </w:pPr>
    <w:r w:rsidRPr="003A26F8">
      <w:rPr>
        <w:rFonts w:ascii="Arial" w:hAnsi="Arial" w:cs="Arial"/>
        <w:b/>
        <w:sz w:val="28"/>
        <w:szCs w:val="28"/>
      </w:rPr>
      <w:t xml:space="preserve">The </w:t>
    </w:r>
    <w:r w:rsidR="001C3F03">
      <w:rPr>
        <w:rFonts w:ascii="Arial" w:hAnsi="Arial" w:cs="Arial"/>
        <w:b/>
        <w:sz w:val="28"/>
        <w:szCs w:val="28"/>
      </w:rPr>
      <w:t>Capital Markets and Investments</w:t>
    </w:r>
    <w:r w:rsidRPr="003A26F8">
      <w:rPr>
        <w:rFonts w:ascii="Arial" w:hAnsi="Arial" w:cs="Arial"/>
        <w:b/>
        <w:sz w:val="28"/>
        <w:szCs w:val="28"/>
      </w:rPr>
      <w:t xml:space="preserve"> 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81"/>
    <w:multiLevelType w:val="hybridMultilevel"/>
    <w:tmpl w:val="E5C69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24E8C"/>
    <w:multiLevelType w:val="hybridMultilevel"/>
    <w:tmpl w:val="1F464A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F222FC"/>
    <w:multiLevelType w:val="multilevel"/>
    <w:tmpl w:val="C2F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819B6"/>
    <w:multiLevelType w:val="multilevel"/>
    <w:tmpl w:val="2C4E0FF4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2639BA"/>
    <w:multiLevelType w:val="hybridMultilevel"/>
    <w:tmpl w:val="2C4E0FF4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1D6142"/>
    <w:multiLevelType w:val="hybridMultilevel"/>
    <w:tmpl w:val="301AC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49ED"/>
    <w:multiLevelType w:val="multilevel"/>
    <w:tmpl w:val="89C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94CAD"/>
    <w:multiLevelType w:val="hybridMultilevel"/>
    <w:tmpl w:val="55C0F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62D0"/>
    <w:multiLevelType w:val="multilevel"/>
    <w:tmpl w:val="26B6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71EFB"/>
    <w:multiLevelType w:val="hybridMultilevel"/>
    <w:tmpl w:val="87C06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58E9"/>
    <w:multiLevelType w:val="hybridMultilevel"/>
    <w:tmpl w:val="72C2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E46B5"/>
    <w:multiLevelType w:val="hybridMultilevel"/>
    <w:tmpl w:val="A4C22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14E8"/>
    <w:multiLevelType w:val="hybridMultilevel"/>
    <w:tmpl w:val="BCF6D9EE"/>
    <w:lvl w:ilvl="0" w:tplc="81AE9698">
      <w:numFmt w:val="bullet"/>
      <w:lvlText w:val="-"/>
      <w:lvlJc w:val="left"/>
      <w:pPr>
        <w:ind w:left="3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3" w15:restartNumberingAfterBreak="0">
    <w:nsid w:val="5F67434D"/>
    <w:multiLevelType w:val="multilevel"/>
    <w:tmpl w:val="253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93E88"/>
    <w:multiLevelType w:val="hybridMultilevel"/>
    <w:tmpl w:val="3D426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D3"/>
    <w:rsid w:val="00003F0A"/>
    <w:rsid w:val="000228D1"/>
    <w:rsid w:val="0002480E"/>
    <w:rsid w:val="000259EC"/>
    <w:rsid w:val="00036E7F"/>
    <w:rsid w:val="00053CCB"/>
    <w:rsid w:val="000561F0"/>
    <w:rsid w:val="00080CC9"/>
    <w:rsid w:val="00090B59"/>
    <w:rsid w:val="00090FF9"/>
    <w:rsid w:val="000A5AA2"/>
    <w:rsid w:val="000B0705"/>
    <w:rsid w:val="000B4CBB"/>
    <w:rsid w:val="000D04D1"/>
    <w:rsid w:val="000E115F"/>
    <w:rsid w:val="000E4ABF"/>
    <w:rsid w:val="000F14C8"/>
    <w:rsid w:val="00123412"/>
    <w:rsid w:val="00145DDD"/>
    <w:rsid w:val="00150563"/>
    <w:rsid w:val="00156633"/>
    <w:rsid w:val="00164DEA"/>
    <w:rsid w:val="00165AC6"/>
    <w:rsid w:val="0016693D"/>
    <w:rsid w:val="00196F86"/>
    <w:rsid w:val="001A69A7"/>
    <w:rsid w:val="001C3E17"/>
    <w:rsid w:val="001C3F03"/>
    <w:rsid w:val="001D6F23"/>
    <w:rsid w:val="002048BE"/>
    <w:rsid w:val="0022427A"/>
    <w:rsid w:val="00227431"/>
    <w:rsid w:val="00281E5D"/>
    <w:rsid w:val="0029225F"/>
    <w:rsid w:val="002A2F18"/>
    <w:rsid w:val="002A6EAA"/>
    <w:rsid w:val="003037EB"/>
    <w:rsid w:val="00303AB4"/>
    <w:rsid w:val="00306849"/>
    <w:rsid w:val="00320491"/>
    <w:rsid w:val="00342D2D"/>
    <w:rsid w:val="0035188E"/>
    <w:rsid w:val="00361CBD"/>
    <w:rsid w:val="003659AA"/>
    <w:rsid w:val="003811C2"/>
    <w:rsid w:val="0038263A"/>
    <w:rsid w:val="00383035"/>
    <w:rsid w:val="00390ECC"/>
    <w:rsid w:val="00391212"/>
    <w:rsid w:val="003A26F8"/>
    <w:rsid w:val="003B381D"/>
    <w:rsid w:val="003C5BF5"/>
    <w:rsid w:val="003C6423"/>
    <w:rsid w:val="003F619F"/>
    <w:rsid w:val="00401A58"/>
    <w:rsid w:val="00403DA6"/>
    <w:rsid w:val="00406AE4"/>
    <w:rsid w:val="00433C9B"/>
    <w:rsid w:val="0043604D"/>
    <w:rsid w:val="00445AE4"/>
    <w:rsid w:val="00457BE3"/>
    <w:rsid w:val="004740F6"/>
    <w:rsid w:val="004812A7"/>
    <w:rsid w:val="004A600B"/>
    <w:rsid w:val="004B29D3"/>
    <w:rsid w:val="004C03FD"/>
    <w:rsid w:val="004C706D"/>
    <w:rsid w:val="004D1B74"/>
    <w:rsid w:val="004F5B3F"/>
    <w:rsid w:val="005204DD"/>
    <w:rsid w:val="00521DFC"/>
    <w:rsid w:val="00534D12"/>
    <w:rsid w:val="00561B2A"/>
    <w:rsid w:val="00565F6C"/>
    <w:rsid w:val="00571F94"/>
    <w:rsid w:val="00594505"/>
    <w:rsid w:val="005C2E0D"/>
    <w:rsid w:val="005D0F2F"/>
    <w:rsid w:val="005D57D3"/>
    <w:rsid w:val="005E396E"/>
    <w:rsid w:val="005E3D61"/>
    <w:rsid w:val="005E52FA"/>
    <w:rsid w:val="00605577"/>
    <w:rsid w:val="00613660"/>
    <w:rsid w:val="0061687E"/>
    <w:rsid w:val="006206C6"/>
    <w:rsid w:val="00624718"/>
    <w:rsid w:val="00630EDC"/>
    <w:rsid w:val="006349A9"/>
    <w:rsid w:val="00640477"/>
    <w:rsid w:val="006510C9"/>
    <w:rsid w:val="006641FF"/>
    <w:rsid w:val="00680647"/>
    <w:rsid w:val="0069302E"/>
    <w:rsid w:val="00700585"/>
    <w:rsid w:val="00701757"/>
    <w:rsid w:val="00702BDB"/>
    <w:rsid w:val="00725929"/>
    <w:rsid w:val="007327F0"/>
    <w:rsid w:val="00736A43"/>
    <w:rsid w:val="00736BD1"/>
    <w:rsid w:val="0076735B"/>
    <w:rsid w:val="00797D26"/>
    <w:rsid w:val="007A4C7B"/>
    <w:rsid w:val="007A77A8"/>
    <w:rsid w:val="007B6C08"/>
    <w:rsid w:val="007C1998"/>
    <w:rsid w:val="007E2069"/>
    <w:rsid w:val="00811659"/>
    <w:rsid w:val="00811D3A"/>
    <w:rsid w:val="00815D1B"/>
    <w:rsid w:val="00821A8B"/>
    <w:rsid w:val="0082400A"/>
    <w:rsid w:val="00824395"/>
    <w:rsid w:val="00831E31"/>
    <w:rsid w:val="00861B8A"/>
    <w:rsid w:val="00873024"/>
    <w:rsid w:val="00892471"/>
    <w:rsid w:val="008A353E"/>
    <w:rsid w:val="008A4711"/>
    <w:rsid w:val="008C24C1"/>
    <w:rsid w:val="008C774D"/>
    <w:rsid w:val="008D2A40"/>
    <w:rsid w:val="008E3936"/>
    <w:rsid w:val="009032A4"/>
    <w:rsid w:val="00941D8F"/>
    <w:rsid w:val="00954FD2"/>
    <w:rsid w:val="0096443C"/>
    <w:rsid w:val="00965E54"/>
    <w:rsid w:val="009773E6"/>
    <w:rsid w:val="009A6371"/>
    <w:rsid w:val="009C0949"/>
    <w:rsid w:val="009C7968"/>
    <w:rsid w:val="00A0123E"/>
    <w:rsid w:val="00A03E22"/>
    <w:rsid w:val="00A053A6"/>
    <w:rsid w:val="00A24E99"/>
    <w:rsid w:val="00A319B7"/>
    <w:rsid w:val="00A54029"/>
    <w:rsid w:val="00A74E78"/>
    <w:rsid w:val="00A81D53"/>
    <w:rsid w:val="00A94404"/>
    <w:rsid w:val="00AA328D"/>
    <w:rsid w:val="00AB3634"/>
    <w:rsid w:val="00AC0164"/>
    <w:rsid w:val="00AD6754"/>
    <w:rsid w:val="00B265DC"/>
    <w:rsid w:val="00B36994"/>
    <w:rsid w:val="00B456DE"/>
    <w:rsid w:val="00B830BC"/>
    <w:rsid w:val="00B965E4"/>
    <w:rsid w:val="00B97810"/>
    <w:rsid w:val="00BA037A"/>
    <w:rsid w:val="00BA7A08"/>
    <w:rsid w:val="00BB0C27"/>
    <w:rsid w:val="00BC39C6"/>
    <w:rsid w:val="00BF5E98"/>
    <w:rsid w:val="00C00553"/>
    <w:rsid w:val="00C00A55"/>
    <w:rsid w:val="00C10934"/>
    <w:rsid w:val="00C17604"/>
    <w:rsid w:val="00C2622D"/>
    <w:rsid w:val="00C45413"/>
    <w:rsid w:val="00C538B8"/>
    <w:rsid w:val="00C5456E"/>
    <w:rsid w:val="00C60868"/>
    <w:rsid w:val="00C63F9A"/>
    <w:rsid w:val="00C768F9"/>
    <w:rsid w:val="00C81BD7"/>
    <w:rsid w:val="00C92761"/>
    <w:rsid w:val="00CA257A"/>
    <w:rsid w:val="00CA339B"/>
    <w:rsid w:val="00CB1F40"/>
    <w:rsid w:val="00CB25E4"/>
    <w:rsid w:val="00CD2BCE"/>
    <w:rsid w:val="00CD2F79"/>
    <w:rsid w:val="00CD6E06"/>
    <w:rsid w:val="00CD7FEF"/>
    <w:rsid w:val="00CE48F9"/>
    <w:rsid w:val="00CF6437"/>
    <w:rsid w:val="00D00E96"/>
    <w:rsid w:val="00D02713"/>
    <w:rsid w:val="00D05EC3"/>
    <w:rsid w:val="00D332C3"/>
    <w:rsid w:val="00D6522A"/>
    <w:rsid w:val="00D766E2"/>
    <w:rsid w:val="00D95D4A"/>
    <w:rsid w:val="00DA1D24"/>
    <w:rsid w:val="00DD6FD7"/>
    <w:rsid w:val="00E01C70"/>
    <w:rsid w:val="00E03D48"/>
    <w:rsid w:val="00E12782"/>
    <w:rsid w:val="00E24DF3"/>
    <w:rsid w:val="00E30031"/>
    <w:rsid w:val="00E46C1A"/>
    <w:rsid w:val="00E50520"/>
    <w:rsid w:val="00E574FE"/>
    <w:rsid w:val="00E5779B"/>
    <w:rsid w:val="00EB15EA"/>
    <w:rsid w:val="00EB6908"/>
    <w:rsid w:val="00EC7C8A"/>
    <w:rsid w:val="00ED6D87"/>
    <w:rsid w:val="00F01EE0"/>
    <w:rsid w:val="00F07DF1"/>
    <w:rsid w:val="00F3244B"/>
    <w:rsid w:val="00F51D7F"/>
    <w:rsid w:val="00F6663B"/>
    <w:rsid w:val="00F73A90"/>
    <w:rsid w:val="00FA1898"/>
    <w:rsid w:val="00FB390E"/>
    <w:rsid w:val="00FC04FF"/>
    <w:rsid w:val="00FE210F"/>
    <w:rsid w:val="00FE3C5B"/>
    <w:rsid w:val="00FE5924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CFE5BD"/>
  <w15:docId w15:val="{B095E622-079D-4DE0-A515-0CBD0B6C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D7"/>
  </w:style>
  <w:style w:type="paragraph" w:styleId="Heading1">
    <w:name w:val="heading 1"/>
    <w:basedOn w:val="Normal"/>
    <w:next w:val="Normal"/>
    <w:qFormat/>
    <w:rsid w:val="005E396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396E"/>
    <w:pPr>
      <w:spacing w:before="100" w:beforeAutospacing="1" w:after="100" w:afterAutospacing="1"/>
    </w:pPr>
    <w:rPr>
      <w:color w:val="333333"/>
      <w:sz w:val="24"/>
      <w:szCs w:val="24"/>
    </w:rPr>
  </w:style>
  <w:style w:type="table" w:styleId="TableGrid">
    <w:name w:val="Table Grid"/>
    <w:basedOn w:val="TableNormal"/>
    <w:rsid w:val="005E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396E"/>
    <w:rPr>
      <w:color w:val="0000FF"/>
      <w:u w:val="single"/>
    </w:rPr>
  </w:style>
  <w:style w:type="paragraph" w:styleId="BalloonText">
    <w:name w:val="Balloon Text"/>
    <w:basedOn w:val="Normal"/>
    <w:semiHidden/>
    <w:rsid w:val="00811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0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0C27"/>
  </w:style>
  <w:style w:type="paragraph" w:styleId="DocumentMap">
    <w:name w:val="Document Map"/>
    <w:basedOn w:val="Normal"/>
    <w:semiHidden/>
    <w:rsid w:val="0015663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2048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8BE"/>
  </w:style>
  <w:style w:type="character" w:customStyle="1" w:styleId="CommentTextChar">
    <w:name w:val="Comment Text Char"/>
    <w:basedOn w:val="DefaultParagraphFont"/>
    <w:link w:val="CommentText"/>
    <w:rsid w:val="002048BE"/>
  </w:style>
  <w:style w:type="paragraph" w:styleId="CommentSubject">
    <w:name w:val="annotation subject"/>
    <w:basedOn w:val="CommentText"/>
    <w:next w:val="CommentText"/>
    <w:link w:val="CommentSubjectChar"/>
    <w:rsid w:val="002048B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048BE"/>
    <w:rPr>
      <w:b/>
      <w:bCs/>
    </w:rPr>
  </w:style>
  <w:style w:type="paragraph" w:styleId="FootnoteText">
    <w:name w:val="footnote text"/>
    <w:basedOn w:val="Normal"/>
    <w:link w:val="FootnoteTextChar"/>
    <w:rsid w:val="0022427A"/>
  </w:style>
  <w:style w:type="character" w:customStyle="1" w:styleId="FootnoteTextChar">
    <w:name w:val="Footnote Text Char"/>
    <w:basedOn w:val="DefaultParagraphFont"/>
    <w:link w:val="FootnoteText"/>
    <w:rsid w:val="0022427A"/>
  </w:style>
  <w:style w:type="character" w:styleId="FootnoteReference">
    <w:name w:val="footnote reference"/>
    <w:rsid w:val="0022427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54FD2"/>
  </w:style>
  <w:style w:type="paragraph" w:styleId="ListParagraph">
    <w:name w:val="List Paragraph"/>
    <w:basedOn w:val="Normal"/>
    <w:uiPriority w:val="34"/>
    <w:qFormat/>
    <w:rsid w:val="00565F6C"/>
    <w:pPr>
      <w:ind w:left="720"/>
      <w:contextualSpacing/>
    </w:pPr>
  </w:style>
  <w:style w:type="paragraph" w:styleId="NoSpacing">
    <w:name w:val="No Spacing"/>
    <w:uiPriority w:val="1"/>
    <w:qFormat/>
    <w:rsid w:val="00D7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@un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EF7B-C5FC-4AAD-A027-1C5041AA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Investment Management Concentration at Kenan-Flagler</vt:lpstr>
    </vt:vector>
  </TitlesOfParts>
  <Company>University of North Carolina- Chapel Hill</Company>
  <LinksUpToDate>false</LinksUpToDate>
  <CharactersWithSpaces>5528</CharactersWithSpaces>
  <SharedDoc>false</SharedDoc>
  <HLinks>
    <vt:vector size="6" baseType="variant"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mailto:Alexander_Arapoglou@unc.edu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Investment Management Concentration at Kenan-Flagler</dc:title>
  <dc:creator>Gregory Brown</dc:creator>
  <cp:lastModifiedBy>Stephanie Peterson</cp:lastModifiedBy>
  <cp:revision>8</cp:revision>
  <cp:lastPrinted>2013-07-30T19:54:00Z</cp:lastPrinted>
  <dcterms:created xsi:type="dcterms:W3CDTF">2018-04-27T16:36:00Z</dcterms:created>
  <dcterms:modified xsi:type="dcterms:W3CDTF">2018-10-04T14:27:00Z</dcterms:modified>
</cp:coreProperties>
</file>